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1A72" w:rsidRDefault="00697BC8" w:rsidP="00697BC8">
      <w:pPr>
        <w:jc w:val="center"/>
        <w:rPr>
          <w:rFonts w:ascii="Arial" w:hAnsi="Arial" w:cs="Arial"/>
          <w:b/>
          <w:sz w:val="20"/>
          <w:szCs w:val="20"/>
        </w:rPr>
      </w:pPr>
      <w:bookmarkStart w:id="0" w:name="_GoBack"/>
      <w:bookmarkEnd w:id="0"/>
      <w:r w:rsidRPr="00697BC8">
        <w:rPr>
          <w:rFonts w:ascii="Arial" w:hAnsi="Arial" w:cs="Arial"/>
          <w:b/>
          <w:sz w:val="20"/>
          <w:szCs w:val="20"/>
        </w:rPr>
        <w:t>Treasury Investment and Risk Management</w:t>
      </w:r>
    </w:p>
    <w:p w:rsidR="00AF2B85" w:rsidRDefault="00AF2B85" w:rsidP="00697BC8">
      <w:pPr>
        <w:jc w:val="center"/>
        <w:rPr>
          <w:rFonts w:ascii="Arial" w:hAnsi="Arial" w:cs="Arial"/>
          <w:b/>
          <w:sz w:val="20"/>
          <w:szCs w:val="20"/>
        </w:rPr>
      </w:pPr>
    </w:p>
    <w:tbl>
      <w:tblPr>
        <w:tblStyle w:val="TableGrid"/>
        <w:tblW w:w="0" w:type="auto"/>
        <w:tblLook w:val="04A0" w:firstRow="1" w:lastRow="0" w:firstColumn="1" w:lastColumn="0" w:noHBand="0" w:noVBand="1"/>
      </w:tblPr>
      <w:tblGrid>
        <w:gridCol w:w="846"/>
        <w:gridCol w:w="8170"/>
      </w:tblGrid>
      <w:tr w:rsidR="005533F8" w:rsidTr="005533F8">
        <w:tc>
          <w:tcPr>
            <w:tcW w:w="846" w:type="dxa"/>
          </w:tcPr>
          <w:p w:rsidR="005533F8" w:rsidRDefault="005533F8" w:rsidP="00697BC8">
            <w:pPr>
              <w:jc w:val="center"/>
              <w:rPr>
                <w:rFonts w:ascii="Arial" w:hAnsi="Arial" w:cs="Arial"/>
                <w:b/>
                <w:sz w:val="20"/>
                <w:szCs w:val="20"/>
              </w:rPr>
            </w:pPr>
            <w:proofErr w:type="spellStart"/>
            <w:r>
              <w:rPr>
                <w:rFonts w:ascii="Arial" w:hAnsi="Arial" w:cs="Arial"/>
                <w:b/>
                <w:sz w:val="20"/>
                <w:szCs w:val="20"/>
              </w:rPr>
              <w:t>S.No</w:t>
            </w:r>
            <w:proofErr w:type="spellEnd"/>
            <w:r>
              <w:rPr>
                <w:rFonts w:ascii="Arial" w:hAnsi="Arial" w:cs="Arial"/>
                <w:b/>
                <w:sz w:val="20"/>
                <w:szCs w:val="20"/>
              </w:rPr>
              <w:t>.</w:t>
            </w:r>
          </w:p>
        </w:tc>
        <w:tc>
          <w:tcPr>
            <w:tcW w:w="8170" w:type="dxa"/>
          </w:tcPr>
          <w:p w:rsidR="005533F8" w:rsidRDefault="005533F8" w:rsidP="00697BC8">
            <w:pPr>
              <w:jc w:val="center"/>
              <w:rPr>
                <w:rFonts w:ascii="Arial" w:hAnsi="Arial" w:cs="Arial"/>
                <w:b/>
                <w:sz w:val="20"/>
                <w:szCs w:val="20"/>
              </w:rPr>
            </w:pPr>
            <w:r>
              <w:rPr>
                <w:rFonts w:ascii="Arial" w:hAnsi="Arial" w:cs="Arial"/>
                <w:b/>
                <w:sz w:val="20"/>
                <w:szCs w:val="20"/>
              </w:rPr>
              <w:t>RBI Notification</w:t>
            </w:r>
          </w:p>
        </w:tc>
      </w:tr>
      <w:tr w:rsidR="005533F8" w:rsidTr="005533F8">
        <w:tc>
          <w:tcPr>
            <w:tcW w:w="846" w:type="dxa"/>
          </w:tcPr>
          <w:p w:rsidR="005533F8" w:rsidRPr="005533F8" w:rsidRDefault="005533F8" w:rsidP="005533F8">
            <w:pPr>
              <w:pStyle w:val="ListParagraph"/>
              <w:numPr>
                <w:ilvl w:val="0"/>
                <w:numId w:val="5"/>
              </w:numPr>
              <w:jc w:val="center"/>
              <w:rPr>
                <w:rFonts w:ascii="Arial" w:hAnsi="Arial" w:cs="Arial"/>
                <w:sz w:val="20"/>
                <w:szCs w:val="20"/>
              </w:rPr>
            </w:pPr>
          </w:p>
        </w:tc>
        <w:tc>
          <w:tcPr>
            <w:tcW w:w="8170" w:type="dxa"/>
          </w:tcPr>
          <w:p w:rsidR="005533F8" w:rsidRPr="005533F8" w:rsidRDefault="005533F8" w:rsidP="005533F8">
            <w:pPr>
              <w:jc w:val="both"/>
              <w:rPr>
                <w:rFonts w:ascii="Arial" w:hAnsi="Arial" w:cs="Arial"/>
                <w:sz w:val="20"/>
                <w:szCs w:val="20"/>
              </w:rPr>
            </w:pPr>
            <w:r w:rsidRPr="005533F8">
              <w:rPr>
                <w:rFonts w:ascii="Arial" w:hAnsi="Arial" w:cs="Arial"/>
                <w:sz w:val="20"/>
                <w:szCs w:val="20"/>
              </w:rPr>
              <w:t>Master Direction – Reserve Bank of India (Variation Margin) Directions, 2022</w:t>
            </w:r>
          </w:p>
        </w:tc>
      </w:tr>
      <w:tr w:rsidR="005533F8" w:rsidTr="005533F8">
        <w:tc>
          <w:tcPr>
            <w:tcW w:w="846" w:type="dxa"/>
          </w:tcPr>
          <w:p w:rsidR="005533F8" w:rsidRPr="005533F8" w:rsidRDefault="005533F8" w:rsidP="005533F8">
            <w:pPr>
              <w:pStyle w:val="ListParagraph"/>
              <w:numPr>
                <w:ilvl w:val="0"/>
                <w:numId w:val="5"/>
              </w:numPr>
              <w:jc w:val="center"/>
              <w:rPr>
                <w:rFonts w:ascii="Arial" w:hAnsi="Arial" w:cs="Arial"/>
                <w:sz w:val="20"/>
                <w:szCs w:val="20"/>
              </w:rPr>
            </w:pPr>
          </w:p>
        </w:tc>
        <w:tc>
          <w:tcPr>
            <w:tcW w:w="8170" w:type="dxa"/>
          </w:tcPr>
          <w:p w:rsidR="005533F8" w:rsidRPr="005533F8" w:rsidRDefault="005533F8" w:rsidP="005533F8">
            <w:pPr>
              <w:jc w:val="both"/>
              <w:rPr>
                <w:rFonts w:ascii="Arial" w:hAnsi="Arial" w:cs="Arial"/>
                <w:sz w:val="20"/>
                <w:szCs w:val="20"/>
              </w:rPr>
            </w:pPr>
            <w:r w:rsidRPr="005533F8">
              <w:rPr>
                <w:rFonts w:ascii="Arial" w:hAnsi="Arial" w:cs="Arial"/>
                <w:sz w:val="20"/>
                <w:szCs w:val="20"/>
              </w:rPr>
              <w:t>Limits for investment in debt and sale of Credit Default Swaps by Foreign Portfolio Investors (FPIs)</w:t>
            </w:r>
          </w:p>
        </w:tc>
      </w:tr>
      <w:tr w:rsidR="005533F8" w:rsidTr="005533F8">
        <w:tc>
          <w:tcPr>
            <w:tcW w:w="846" w:type="dxa"/>
          </w:tcPr>
          <w:p w:rsidR="005533F8" w:rsidRPr="005533F8" w:rsidRDefault="005533F8" w:rsidP="005533F8">
            <w:pPr>
              <w:pStyle w:val="ListParagraph"/>
              <w:numPr>
                <w:ilvl w:val="0"/>
                <w:numId w:val="5"/>
              </w:numPr>
              <w:jc w:val="center"/>
              <w:rPr>
                <w:rFonts w:ascii="Arial" w:hAnsi="Arial" w:cs="Arial"/>
                <w:sz w:val="20"/>
                <w:szCs w:val="20"/>
              </w:rPr>
            </w:pPr>
          </w:p>
        </w:tc>
        <w:tc>
          <w:tcPr>
            <w:tcW w:w="8170" w:type="dxa"/>
          </w:tcPr>
          <w:p w:rsidR="005533F8" w:rsidRPr="005533F8" w:rsidRDefault="005533F8" w:rsidP="005533F8">
            <w:pPr>
              <w:jc w:val="both"/>
              <w:rPr>
                <w:rFonts w:ascii="Arial" w:hAnsi="Arial" w:cs="Arial"/>
                <w:sz w:val="20"/>
                <w:szCs w:val="20"/>
              </w:rPr>
            </w:pPr>
            <w:r w:rsidRPr="005533F8">
              <w:rPr>
                <w:rFonts w:ascii="Arial" w:hAnsi="Arial" w:cs="Arial"/>
                <w:sz w:val="20"/>
                <w:szCs w:val="20"/>
              </w:rPr>
              <w:t>Review of SLR holdings in HTM category</w:t>
            </w:r>
          </w:p>
        </w:tc>
      </w:tr>
      <w:tr w:rsidR="005533F8" w:rsidTr="005533F8">
        <w:tc>
          <w:tcPr>
            <w:tcW w:w="846" w:type="dxa"/>
          </w:tcPr>
          <w:p w:rsidR="005533F8" w:rsidRPr="005533F8" w:rsidRDefault="005533F8" w:rsidP="005533F8">
            <w:pPr>
              <w:pStyle w:val="ListParagraph"/>
              <w:numPr>
                <w:ilvl w:val="0"/>
                <w:numId w:val="5"/>
              </w:numPr>
              <w:jc w:val="center"/>
              <w:rPr>
                <w:rFonts w:ascii="Arial" w:hAnsi="Arial" w:cs="Arial"/>
                <w:sz w:val="20"/>
                <w:szCs w:val="20"/>
              </w:rPr>
            </w:pPr>
          </w:p>
        </w:tc>
        <w:tc>
          <w:tcPr>
            <w:tcW w:w="8170" w:type="dxa"/>
          </w:tcPr>
          <w:p w:rsidR="005533F8" w:rsidRPr="005533F8" w:rsidRDefault="005533F8" w:rsidP="005533F8">
            <w:pPr>
              <w:jc w:val="both"/>
              <w:rPr>
                <w:rFonts w:ascii="Arial" w:hAnsi="Arial" w:cs="Arial"/>
                <w:sz w:val="20"/>
                <w:szCs w:val="20"/>
              </w:rPr>
            </w:pPr>
            <w:r w:rsidRPr="005533F8">
              <w:rPr>
                <w:rFonts w:ascii="Arial" w:hAnsi="Arial" w:cs="Arial"/>
                <w:sz w:val="20"/>
                <w:szCs w:val="20"/>
              </w:rPr>
              <w:t>Master Circular on Investments by Primary (Urban) Co-operative Banks</w:t>
            </w:r>
          </w:p>
        </w:tc>
      </w:tr>
      <w:tr w:rsidR="005533F8" w:rsidTr="005533F8">
        <w:tc>
          <w:tcPr>
            <w:tcW w:w="846" w:type="dxa"/>
          </w:tcPr>
          <w:p w:rsidR="005533F8" w:rsidRPr="005533F8" w:rsidRDefault="005533F8" w:rsidP="005533F8">
            <w:pPr>
              <w:pStyle w:val="ListParagraph"/>
              <w:numPr>
                <w:ilvl w:val="0"/>
                <w:numId w:val="5"/>
              </w:numPr>
              <w:jc w:val="center"/>
              <w:rPr>
                <w:rFonts w:ascii="Arial" w:hAnsi="Arial" w:cs="Arial"/>
                <w:sz w:val="20"/>
                <w:szCs w:val="20"/>
              </w:rPr>
            </w:pPr>
          </w:p>
        </w:tc>
        <w:tc>
          <w:tcPr>
            <w:tcW w:w="8170" w:type="dxa"/>
          </w:tcPr>
          <w:p w:rsidR="005533F8" w:rsidRPr="005533F8" w:rsidRDefault="005533F8" w:rsidP="005533F8">
            <w:pPr>
              <w:jc w:val="both"/>
              <w:rPr>
                <w:rFonts w:ascii="Arial" w:hAnsi="Arial" w:cs="Arial"/>
                <w:sz w:val="20"/>
                <w:szCs w:val="20"/>
              </w:rPr>
            </w:pPr>
            <w:r w:rsidRPr="005533F8">
              <w:rPr>
                <w:rFonts w:ascii="Arial" w:hAnsi="Arial" w:cs="Arial"/>
                <w:sz w:val="20"/>
                <w:szCs w:val="20"/>
              </w:rPr>
              <w:t>Master Direction - Classification, Valuation and Operation of Investment Portfolio of Commercial Banks (Directions), 2021 – Amendment</w:t>
            </w:r>
          </w:p>
        </w:tc>
      </w:tr>
      <w:tr w:rsidR="005533F8" w:rsidTr="005533F8">
        <w:tc>
          <w:tcPr>
            <w:tcW w:w="846" w:type="dxa"/>
          </w:tcPr>
          <w:p w:rsidR="005533F8" w:rsidRPr="005533F8" w:rsidRDefault="005533F8" w:rsidP="005533F8">
            <w:pPr>
              <w:pStyle w:val="ListParagraph"/>
              <w:numPr>
                <w:ilvl w:val="0"/>
                <w:numId w:val="5"/>
              </w:numPr>
              <w:jc w:val="center"/>
              <w:rPr>
                <w:rFonts w:ascii="Arial" w:hAnsi="Arial" w:cs="Arial"/>
                <w:sz w:val="20"/>
                <w:szCs w:val="20"/>
              </w:rPr>
            </w:pPr>
          </w:p>
        </w:tc>
        <w:tc>
          <w:tcPr>
            <w:tcW w:w="8170" w:type="dxa"/>
          </w:tcPr>
          <w:p w:rsidR="005533F8" w:rsidRPr="005533F8" w:rsidRDefault="005533F8" w:rsidP="005533F8">
            <w:pPr>
              <w:jc w:val="both"/>
              <w:rPr>
                <w:rFonts w:ascii="Arial" w:hAnsi="Arial" w:cs="Arial"/>
                <w:sz w:val="20"/>
                <w:szCs w:val="20"/>
              </w:rPr>
            </w:pPr>
            <w:r w:rsidRPr="005533F8">
              <w:rPr>
                <w:rFonts w:ascii="Arial" w:hAnsi="Arial" w:cs="Arial"/>
                <w:sz w:val="20"/>
                <w:szCs w:val="20"/>
              </w:rPr>
              <w:t>Bilateral Netting of Qualified Financial Contracts - Amendments to Prudential Guidelines</w:t>
            </w:r>
          </w:p>
        </w:tc>
      </w:tr>
      <w:tr w:rsidR="005533F8" w:rsidTr="005533F8">
        <w:tc>
          <w:tcPr>
            <w:tcW w:w="846" w:type="dxa"/>
          </w:tcPr>
          <w:p w:rsidR="005533F8" w:rsidRPr="005533F8" w:rsidRDefault="005533F8" w:rsidP="005533F8">
            <w:pPr>
              <w:pStyle w:val="ListParagraph"/>
              <w:numPr>
                <w:ilvl w:val="0"/>
                <w:numId w:val="5"/>
              </w:numPr>
              <w:jc w:val="center"/>
              <w:rPr>
                <w:rFonts w:ascii="Arial" w:hAnsi="Arial" w:cs="Arial"/>
                <w:sz w:val="20"/>
                <w:szCs w:val="20"/>
              </w:rPr>
            </w:pPr>
          </w:p>
        </w:tc>
        <w:tc>
          <w:tcPr>
            <w:tcW w:w="8170" w:type="dxa"/>
          </w:tcPr>
          <w:p w:rsidR="005533F8" w:rsidRPr="005533F8" w:rsidRDefault="005533F8" w:rsidP="005533F8">
            <w:pPr>
              <w:jc w:val="both"/>
              <w:rPr>
                <w:rFonts w:ascii="Arial" w:hAnsi="Arial" w:cs="Arial"/>
                <w:sz w:val="20"/>
                <w:szCs w:val="20"/>
              </w:rPr>
            </w:pPr>
            <w:r w:rsidRPr="005533F8">
              <w:rPr>
                <w:rFonts w:ascii="Arial" w:hAnsi="Arial" w:cs="Arial"/>
                <w:sz w:val="20"/>
                <w:szCs w:val="20"/>
              </w:rPr>
              <w:t>Master Direction - Classification, Valuation and Operation of Investment Portfolio of Commercial Banks (Directions), 2021 – Amendment</w:t>
            </w:r>
          </w:p>
        </w:tc>
      </w:tr>
      <w:tr w:rsidR="005533F8" w:rsidTr="00BE237A">
        <w:tc>
          <w:tcPr>
            <w:tcW w:w="846" w:type="dxa"/>
          </w:tcPr>
          <w:p w:rsidR="005533F8" w:rsidRPr="005533F8" w:rsidRDefault="005533F8" w:rsidP="005533F8">
            <w:pPr>
              <w:pStyle w:val="ListParagraph"/>
              <w:numPr>
                <w:ilvl w:val="0"/>
                <w:numId w:val="5"/>
              </w:numPr>
              <w:jc w:val="center"/>
              <w:rPr>
                <w:rFonts w:ascii="Arial" w:hAnsi="Arial" w:cs="Arial"/>
                <w:sz w:val="20"/>
                <w:szCs w:val="20"/>
              </w:rPr>
            </w:pPr>
          </w:p>
        </w:tc>
        <w:tc>
          <w:tcPr>
            <w:tcW w:w="8170" w:type="dxa"/>
            <w:tcBorders>
              <w:top w:val="single" w:sz="4" w:space="0" w:color="auto"/>
              <w:left w:val="single" w:sz="4" w:space="0" w:color="auto"/>
              <w:bottom w:val="single" w:sz="4" w:space="0" w:color="auto"/>
              <w:right w:val="single" w:sz="4" w:space="0" w:color="auto"/>
            </w:tcBorders>
            <w:shd w:val="clear" w:color="auto" w:fill="auto"/>
            <w:vAlign w:val="center"/>
          </w:tcPr>
          <w:p w:rsidR="005533F8" w:rsidRPr="005533F8" w:rsidRDefault="005533F8" w:rsidP="005533F8">
            <w:pPr>
              <w:rPr>
                <w:rFonts w:ascii="Arial" w:hAnsi="Arial" w:cs="Arial"/>
                <w:color w:val="000000"/>
                <w:sz w:val="20"/>
                <w:szCs w:val="20"/>
              </w:rPr>
            </w:pPr>
            <w:r w:rsidRPr="005533F8">
              <w:rPr>
                <w:rFonts w:ascii="Arial" w:hAnsi="Arial" w:cs="Arial"/>
                <w:color w:val="000000"/>
                <w:sz w:val="20"/>
                <w:szCs w:val="20"/>
              </w:rPr>
              <w:t>Rupee Interest Rate Derivatives (Reserve Bank) Directions – Review</w:t>
            </w:r>
          </w:p>
        </w:tc>
      </w:tr>
      <w:tr w:rsidR="005533F8" w:rsidTr="00BE237A">
        <w:tc>
          <w:tcPr>
            <w:tcW w:w="846" w:type="dxa"/>
          </w:tcPr>
          <w:p w:rsidR="005533F8" w:rsidRPr="005533F8" w:rsidRDefault="005533F8" w:rsidP="005533F8">
            <w:pPr>
              <w:pStyle w:val="ListParagraph"/>
              <w:numPr>
                <w:ilvl w:val="0"/>
                <w:numId w:val="5"/>
              </w:numPr>
              <w:jc w:val="center"/>
              <w:rPr>
                <w:rFonts w:ascii="Arial" w:hAnsi="Arial" w:cs="Arial"/>
                <w:sz w:val="20"/>
                <w:szCs w:val="20"/>
              </w:rPr>
            </w:pPr>
          </w:p>
        </w:tc>
        <w:tc>
          <w:tcPr>
            <w:tcW w:w="8170" w:type="dxa"/>
            <w:tcBorders>
              <w:top w:val="nil"/>
              <w:left w:val="single" w:sz="4" w:space="0" w:color="auto"/>
              <w:bottom w:val="single" w:sz="4" w:space="0" w:color="auto"/>
              <w:right w:val="single" w:sz="4" w:space="0" w:color="auto"/>
            </w:tcBorders>
            <w:shd w:val="clear" w:color="auto" w:fill="auto"/>
            <w:vAlign w:val="center"/>
          </w:tcPr>
          <w:p w:rsidR="005533F8" w:rsidRPr="005533F8" w:rsidRDefault="005533F8" w:rsidP="005533F8">
            <w:pPr>
              <w:rPr>
                <w:rFonts w:ascii="Arial" w:hAnsi="Arial" w:cs="Arial"/>
                <w:color w:val="000000"/>
                <w:sz w:val="20"/>
                <w:szCs w:val="20"/>
              </w:rPr>
            </w:pPr>
            <w:r w:rsidRPr="005533F8">
              <w:rPr>
                <w:rFonts w:ascii="Arial" w:hAnsi="Arial" w:cs="Arial"/>
                <w:color w:val="000000"/>
                <w:sz w:val="20"/>
                <w:szCs w:val="20"/>
              </w:rPr>
              <w:t>‘Voluntary Retention Route’ (VRR) for Foreign Portfolio Investors (FPIs) investment in debt</w:t>
            </w:r>
          </w:p>
        </w:tc>
      </w:tr>
      <w:tr w:rsidR="005533F8" w:rsidTr="00BE237A">
        <w:tc>
          <w:tcPr>
            <w:tcW w:w="846" w:type="dxa"/>
          </w:tcPr>
          <w:p w:rsidR="005533F8" w:rsidRPr="005533F8" w:rsidRDefault="005533F8" w:rsidP="005533F8">
            <w:pPr>
              <w:pStyle w:val="ListParagraph"/>
              <w:numPr>
                <w:ilvl w:val="0"/>
                <w:numId w:val="5"/>
              </w:numPr>
              <w:jc w:val="center"/>
              <w:rPr>
                <w:rFonts w:ascii="Arial" w:hAnsi="Arial" w:cs="Arial"/>
                <w:sz w:val="20"/>
                <w:szCs w:val="20"/>
              </w:rPr>
            </w:pPr>
          </w:p>
        </w:tc>
        <w:tc>
          <w:tcPr>
            <w:tcW w:w="8170" w:type="dxa"/>
            <w:tcBorders>
              <w:top w:val="nil"/>
              <w:left w:val="single" w:sz="4" w:space="0" w:color="auto"/>
              <w:bottom w:val="single" w:sz="4" w:space="0" w:color="auto"/>
              <w:right w:val="single" w:sz="4" w:space="0" w:color="auto"/>
            </w:tcBorders>
            <w:shd w:val="clear" w:color="auto" w:fill="auto"/>
            <w:vAlign w:val="center"/>
          </w:tcPr>
          <w:p w:rsidR="005533F8" w:rsidRPr="005533F8" w:rsidRDefault="005533F8" w:rsidP="005533F8">
            <w:pPr>
              <w:rPr>
                <w:rFonts w:ascii="Arial" w:hAnsi="Arial" w:cs="Arial"/>
                <w:color w:val="000000"/>
                <w:sz w:val="20"/>
                <w:szCs w:val="20"/>
              </w:rPr>
            </w:pPr>
            <w:r w:rsidRPr="005533F8">
              <w:rPr>
                <w:rFonts w:ascii="Arial" w:hAnsi="Arial" w:cs="Arial"/>
                <w:color w:val="000000"/>
                <w:sz w:val="20"/>
                <w:szCs w:val="20"/>
              </w:rPr>
              <w:t>Transactions in Credit Default Swap (CDS) by Foreign Portfolio Investors – Operational Instructions</w:t>
            </w:r>
          </w:p>
        </w:tc>
      </w:tr>
      <w:tr w:rsidR="005533F8" w:rsidTr="005533F8">
        <w:tc>
          <w:tcPr>
            <w:tcW w:w="846" w:type="dxa"/>
            <w:tcBorders>
              <w:bottom w:val="single" w:sz="4" w:space="0" w:color="auto"/>
            </w:tcBorders>
          </w:tcPr>
          <w:p w:rsidR="005533F8" w:rsidRPr="005533F8" w:rsidRDefault="005533F8" w:rsidP="005533F8">
            <w:pPr>
              <w:pStyle w:val="ListParagraph"/>
              <w:numPr>
                <w:ilvl w:val="0"/>
                <w:numId w:val="5"/>
              </w:numPr>
              <w:jc w:val="center"/>
              <w:rPr>
                <w:rFonts w:ascii="Arial" w:hAnsi="Arial" w:cs="Arial"/>
                <w:sz w:val="20"/>
                <w:szCs w:val="20"/>
              </w:rPr>
            </w:pPr>
          </w:p>
        </w:tc>
        <w:tc>
          <w:tcPr>
            <w:tcW w:w="8170" w:type="dxa"/>
            <w:tcBorders>
              <w:top w:val="nil"/>
              <w:left w:val="single" w:sz="4" w:space="0" w:color="auto"/>
              <w:bottom w:val="single" w:sz="4" w:space="0" w:color="auto"/>
              <w:right w:val="single" w:sz="4" w:space="0" w:color="auto"/>
            </w:tcBorders>
            <w:shd w:val="clear" w:color="auto" w:fill="auto"/>
            <w:vAlign w:val="center"/>
          </w:tcPr>
          <w:p w:rsidR="005533F8" w:rsidRPr="005533F8" w:rsidRDefault="005533F8" w:rsidP="005533F8">
            <w:pPr>
              <w:rPr>
                <w:rFonts w:ascii="Arial" w:hAnsi="Arial" w:cs="Arial"/>
                <w:color w:val="000000"/>
                <w:sz w:val="20"/>
                <w:szCs w:val="20"/>
              </w:rPr>
            </w:pPr>
            <w:r w:rsidRPr="005533F8">
              <w:rPr>
                <w:rFonts w:ascii="Arial" w:hAnsi="Arial" w:cs="Arial"/>
                <w:color w:val="000000"/>
                <w:sz w:val="20"/>
                <w:szCs w:val="20"/>
              </w:rPr>
              <w:t>Master Direction – Reserve Bank of India (Credit Derivatives) Directions, 2022</w:t>
            </w:r>
          </w:p>
        </w:tc>
      </w:tr>
      <w:tr w:rsidR="005533F8" w:rsidTr="005533F8">
        <w:tc>
          <w:tcPr>
            <w:tcW w:w="846" w:type="dxa"/>
            <w:tcBorders>
              <w:top w:val="single" w:sz="4" w:space="0" w:color="auto"/>
            </w:tcBorders>
          </w:tcPr>
          <w:p w:rsidR="005533F8" w:rsidRPr="005533F8" w:rsidRDefault="005533F8" w:rsidP="005533F8">
            <w:pPr>
              <w:pStyle w:val="ListParagraph"/>
              <w:numPr>
                <w:ilvl w:val="0"/>
                <w:numId w:val="5"/>
              </w:numPr>
              <w:jc w:val="center"/>
              <w:rPr>
                <w:rFonts w:ascii="Arial" w:hAnsi="Arial" w:cs="Arial"/>
                <w:sz w:val="20"/>
                <w:szCs w:val="20"/>
              </w:rPr>
            </w:pPr>
          </w:p>
        </w:tc>
        <w:tc>
          <w:tcPr>
            <w:tcW w:w="8170" w:type="dxa"/>
            <w:tcBorders>
              <w:top w:val="single" w:sz="4" w:space="0" w:color="auto"/>
              <w:left w:val="single" w:sz="4" w:space="0" w:color="auto"/>
              <w:bottom w:val="single" w:sz="4" w:space="0" w:color="auto"/>
              <w:right w:val="single" w:sz="4" w:space="0" w:color="auto"/>
            </w:tcBorders>
            <w:shd w:val="clear" w:color="auto" w:fill="auto"/>
            <w:vAlign w:val="center"/>
          </w:tcPr>
          <w:p w:rsidR="005533F8" w:rsidRPr="005533F8" w:rsidRDefault="005533F8" w:rsidP="005533F8">
            <w:pPr>
              <w:rPr>
                <w:rFonts w:ascii="Arial" w:hAnsi="Arial" w:cs="Arial"/>
                <w:color w:val="000000"/>
                <w:sz w:val="20"/>
                <w:szCs w:val="20"/>
              </w:rPr>
            </w:pPr>
            <w:r w:rsidRPr="005533F8">
              <w:rPr>
                <w:rFonts w:ascii="Arial" w:hAnsi="Arial" w:cs="Arial"/>
                <w:color w:val="000000"/>
                <w:sz w:val="20"/>
                <w:szCs w:val="20"/>
              </w:rPr>
              <w:t>Retail Direct Scheme – Market Making</w:t>
            </w:r>
          </w:p>
        </w:tc>
      </w:tr>
    </w:tbl>
    <w:p w:rsidR="00697BC8" w:rsidRDefault="00697BC8" w:rsidP="00697BC8">
      <w:pPr>
        <w:jc w:val="center"/>
        <w:rPr>
          <w:rFonts w:ascii="Arial" w:hAnsi="Arial" w:cs="Arial"/>
          <w:b/>
          <w:sz w:val="20"/>
          <w:szCs w:val="20"/>
        </w:rPr>
      </w:pPr>
    </w:p>
    <w:p w:rsidR="005533F8" w:rsidRDefault="005533F8" w:rsidP="00697BC8">
      <w:pPr>
        <w:spacing w:after="0"/>
        <w:jc w:val="both"/>
        <w:rPr>
          <w:rFonts w:ascii="Arial" w:hAnsi="Arial" w:cs="Arial"/>
          <w:b/>
          <w:bCs/>
          <w:color w:val="000000"/>
          <w:sz w:val="20"/>
          <w:szCs w:val="20"/>
        </w:rPr>
      </w:pPr>
    </w:p>
    <w:p w:rsidR="005533F8" w:rsidRDefault="005533F8" w:rsidP="00697BC8">
      <w:pPr>
        <w:spacing w:after="0"/>
        <w:jc w:val="both"/>
        <w:rPr>
          <w:rFonts w:ascii="Arial" w:hAnsi="Arial" w:cs="Arial"/>
          <w:b/>
          <w:bCs/>
          <w:color w:val="000000"/>
          <w:sz w:val="20"/>
          <w:szCs w:val="20"/>
        </w:rPr>
      </w:pPr>
    </w:p>
    <w:p w:rsidR="005533F8" w:rsidRDefault="005533F8" w:rsidP="00697BC8">
      <w:pPr>
        <w:spacing w:after="0"/>
        <w:jc w:val="both"/>
        <w:rPr>
          <w:rFonts w:ascii="Arial" w:hAnsi="Arial" w:cs="Arial"/>
          <w:b/>
          <w:bCs/>
          <w:color w:val="000000"/>
          <w:sz w:val="20"/>
          <w:szCs w:val="20"/>
        </w:rPr>
      </w:pPr>
    </w:p>
    <w:p w:rsidR="005533F8" w:rsidRDefault="005533F8" w:rsidP="00697BC8">
      <w:pPr>
        <w:spacing w:after="0"/>
        <w:jc w:val="both"/>
        <w:rPr>
          <w:rFonts w:ascii="Arial" w:hAnsi="Arial" w:cs="Arial"/>
          <w:b/>
          <w:bCs/>
          <w:color w:val="000000"/>
          <w:sz w:val="20"/>
          <w:szCs w:val="20"/>
        </w:rPr>
      </w:pPr>
    </w:p>
    <w:p w:rsidR="00697BC8" w:rsidRPr="00470480" w:rsidRDefault="00697BC8" w:rsidP="00697BC8">
      <w:pPr>
        <w:spacing w:after="0"/>
        <w:jc w:val="both"/>
        <w:rPr>
          <w:rFonts w:ascii="Arial" w:hAnsi="Arial" w:cs="Arial"/>
          <w:b/>
          <w:bCs/>
          <w:color w:val="000000"/>
          <w:sz w:val="20"/>
          <w:szCs w:val="20"/>
        </w:rPr>
      </w:pPr>
      <w:r w:rsidRPr="00470480">
        <w:rPr>
          <w:rFonts w:ascii="Arial" w:hAnsi="Arial" w:cs="Arial"/>
          <w:b/>
          <w:bCs/>
          <w:color w:val="000000"/>
          <w:sz w:val="20"/>
          <w:szCs w:val="20"/>
        </w:rPr>
        <w:t>Master Direction – Reserve Bank of India (Variation Margin) Directions, 2022</w:t>
      </w:r>
    </w:p>
    <w:p w:rsidR="00697BC8" w:rsidRPr="00470480" w:rsidRDefault="00697BC8" w:rsidP="00697BC8">
      <w:pPr>
        <w:spacing w:after="0"/>
        <w:jc w:val="both"/>
        <w:rPr>
          <w:rFonts w:ascii="Arial" w:hAnsi="Arial" w:cs="Arial"/>
          <w:b/>
          <w:bCs/>
          <w:color w:val="000000"/>
          <w:sz w:val="20"/>
          <w:szCs w:val="20"/>
        </w:rPr>
      </w:pPr>
    </w:p>
    <w:p w:rsidR="00697BC8" w:rsidRPr="00470480" w:rsidRDefault="00697BC8" w:rsidP="00697BC8">
      <w:pPr>
        <w:spacing w:before="100" w:beforeAutospacing="1" w:after="100" w:afterAutospacing="1" w:line="240" w:lineRule="auto"/>
        <w:jc w:val="both"/>
        <w:rPr>
          <w:rFonts w:ascii="Arial" w:eastAsia="Times New Roman" w:hAnsi="Arial" w:cs="Arial"/>
          <w:color w:val="000000"/>
          <w:sz w:val="20"/>
          <w:szCs w:val="20"/>
          <w:lang w:eastAsia="en-IN"/>
        </w:rPr>
      </w:pPr>
      <w:r w:rsidRPr="00470480">
        <w:rPr>
          <w:rFonts w:ascii="Arial" w:eastAsia="Times New Roman" w:hAnsi="Arial" w:cs="Arial"/>
          <w:color w:val="000000"/>
          <w:sz w:val="20"/>
          <w:szCs w:val="20"/>
          <w:lang w:eastAsia="en-IN"/>
        </w:rPr>
        <w:t>RBI/2022-23/93</w:t>
      </w:r>
      <w:r w:rsidRPr="00470480">
        <w:rPr>
          <w:rFonts w:ascii="Arial" w:eastAsia="Times New Roman" w:hAnsi="Arial" w:cs="Arial"/>
          <w:color w:val="000000"/>
          <w:sz w:val="20"/>
          <w:szCs w:val="20"/>
          <w:lang w:eastAsia="en-IN"/>
        </w:rPr>
        <w:br/>
        <w:t>FMRD.DIRD.02/14.01.023/2022-23</w:t>
      </w:r>
    </w:p>
    <w:p w:rsidR="00697BC8" w:rsidRPr="00470480" w:rsidRDefault="00697BC8" w:rsidP="00697BC8">
      <w:pPr>
        <w:spacing w:before="100" w:beforeAutospacing="1" w:after="100" w:afterAutospacing="1" w:line="240" w:lineRule="auto"/>
        <w:jc w:val="right"/>
        <w:rPr>
          <w:rFonts w:ascii="Arial" w:eastAsia="Times New Roman" w:hAnsi="Arial" w:cs="Arial"/>
          <w:color w:val="000000"/>
          <w:sz w:val="20"/>
          <w:szCs w:val="20"/>
          <w:lang w:eastAsia="en-IN"/>
        </w:rPr>
      </w:pPr>
      <w:r w:rsidRPr="00470480">
        <w:rPr>
          <w:rFonts w:ascii="Arial" w:eastAsia="Times New Roman" w:hAnsi="Arial" w:cs="Arial"/>
          <w:color w:val="000000"/>
          <w:sz w:val="20"/>
          <w:szCs w:val="20"/>
          <w:lang w:eastAsia="en-IN"/>
        </w:rPr>
        <w:t>June 01, 2022</w:t>
      </w:r>
    </w:p>
    <w:p w:rsidR="00697BC8" w:rsidRPr="00470480" w:rsidRDefault="00697BC8" w:rsidP="00697BC8">
      <w:pPr>
        <w:spacing w:before="100" w:beforeAutospacing="1" w:after="100" w:afterAutospacing="1" w:line="240" w:lineRule="auto"/>
        <w:jc w:val="both"/>
        <w:rPr>
          <w:rFonts w:ascii="Arial" w:eastAsia="Times New Roman" w:hAnsi="Arial" w:cs="Arial"/>
          <w:color w:val="000000"/>
          <w:sz w:val="20"/>
          <w:szCs w:val="20"/>
          <w:lang w:eastAsia="en-IN"/>
        </w:rPr>
      </w:pPr>
      <w:r w:rsidRPr="00470480">
        <w:rPr>
          <w:rFonts w:ascii="Arial" w:eastAsia="Times New Roman" w:hAnsi="Arial" w:cs="Arial"/>
          <w:color w:val="000000"/>
          <w:sz w:val="20"/>
          <w:szCs w:val="20"/>
          <w:lang w:eastAsia="en-IN"/>
        </w:rPr>
        <w:t>To</w:t>
      </w:r>
    </w:p>
    <w:p w:rsidR="00697BC8" w:rsidRPr="00470480" w:rsidRDefault="00697BC8" w:rsidP="00697BC8">
      <w:pPr>
        <w:spacing w:before="100" w:beforeAutospacing="1" w:after="100" w:afterAutospacing="1" w:line="240" w:lineRule="auto"/>
        <w:jc w:val="both"/>
        <w:rPr>
          <w:rFonts w:ascii="Arial" w:eastAsia="Times New Roman" w:hAnsi="Arial" w:cs="Arial"/>
          <w:color w:val="000000"/>
          <w:sz w:val="20"/>
          <w:szCs w:val="20"/>
          <w:lang w:eastAsia="en-IN"/>
        </w:rPr>
      </w:pPr>
      <w:r w:rsidRPr="00470480">
        <w:rPr>
          <w:rFonts w:ascii="Arial" w:eastAsia="Times New Roman" w:hAnsi="Arial" w:cs="Arial"/>
          <w:color w:val="000000"/>
          <w:sz w:val="20"/>
          <w:szCs w:val="20"/>
          <w:lang w:eastAsia="en-IN"/>
        </w:rPr>
        <w:t>All Eligible Market Participants</w:t>
      </w:r>
    </w:p>
    <w:p w:rsidR="00697BC8" w:rsidRPr="00470480" w:rsidRDefault="00697BC8" w:rsidP="00697BC8">
      <w:pPr>
        <w:spacing w:before="100" w:beforeAutospacing="1" w:after="100" w:afterAutospacing="1" w:line="240" w:lineRule="auto"/>
        <w:jc w:val="both"/>
        <w:rPr>
          <w:rFonts w:ascii="Arial" w:eastAsia="Times New Roman" w:hAnsi="Arial" w:cs="Arial"/>
          <w:color w:val="000000"/>
          <w:sz w:val="20"/>
          <w:szCs w:val="20"/>
          <w:lang w:eastAsia="en-IN"/>
        </w:rPr>
      </w:pPr>
      <w:r w:rsidRPr="00470480">
        <w:rPr>
          <w:rFonts w:ascii="Arial" w:eastAsia="Times New Roman" w:hAnsi="Arial" w:cs="Arial"/>
          <w:color w:val="000000"/>
          <w:sz w:val="20"/>
          <w:szCs w:val="20"/>
          <w:lang w:eastAsia="en-IN"/>
        </w:rPr>
        <w:t>Madam/Sir</w:t>
      </w:r>
    </w:p>
    <w:p w:rsidR="00697BC8" w:rsidRPr="00470480" w:rsidRDefault="00697BC8" w:rsidP="00697BC8">
      <w:pPr>
        <w:spacing w:before="100" w:beforeAutospacing="1" w:after="100" w:afterAutospacing="1" w:line="240" w:lineRule="auto"/>
        <w:jc w:val="center"/>
        <w:rPr>
          <w:rFonts w:ascii="Arial" w:eastAsia="Times New Roman" w:hAnsi="Arial" w:cs="Arial"/>
          <w:b/>
          <w:bCs/>
          <w:color w:val="000000"/>
          <w:sz w:val="20"/>
          <w:szCs w:val="20"/>
          <w:lang w:eastAsia="en-IN"/>
        </w:rPr>
      </w:pPr>
      <w:r w:rsidRPr="00470480">
        <w:rPr>
          <w:rFonts w:ascii="Arial" w:eastAsia="Times New Roman" w:hAnsi="Arial" w:cs="Arial"/>
          <w:b/>
          <w:bCs/>
          <w:color w:val="000000"/>
          <w:sz w:val="20"/>
          <w:szCs w:val="20"/>
          <w:lang w:eastAsia="en-IN"/>
        </w:rPr>
        <w:t>Master Direction – Reserve Bank of India (Variation Margin) Directions, 2022</w:t>
      </w:r>
    </w:p>
    <w:p w:rsidR="00697BC8" w:rsidRPr="00470480" w:rsidRDefault="00697BC8" w:rsidP="00697BC8">
      <w:pPr>
        <w:spacing w:before="100" w:beforeAutospacing="1" w:after="100" w:afterAutospacing="1" w:line="240" w:lineRule="auto"/>
        <w:jc w:val="both"/>
        <w:rPr>
          <w:rFonts w:ascii="Arial" w:eastAsia="Times New Roman" w:hAnsi="Arial" w:cs="Arial"/>
          <w:color w:val="000000"/>
          <w:sz w:val="20"/>
          <w:szCs w:val="20"/>
          <w:lang w:eastAsia="en-IN"/>
        </w:rPr>
      </w:pPr>
      <w:r w:rsidRPr="00470480">
        <w:rPr>
          <w:rFonts w:ascii="Arial" w:eastAsia="Times New Roman" w:hAnsi="Arial" w:cs="Arial"/>
          <w:color w:val="000000"/>
          <w:sz w:val="20"/>
          <w:szCs w:val="20"/>
          <w:lang w:eastAsia="en-IN"/>
        </w:rPr>
        <w:t>Please refer to Paragraph 10 of the </w:t>
      </w:r>
      <w:hyperlink r:id="rId5" w:tgtFrame="_blank" w:history="1">
        <w:r w:rsidRPr="00470480">
          <w:rPr>
            <w:rFonts w:ascii="Arial" w:eastAsia="Times New Roman" w:hAnsi="Arial" w:cs="Arial"/>
            <w:color w:val="0000FF"/>
            <w:sz w:val="20"/>
            <w:szCs w:val="20"/>
            <w:u w:val="single"/>
            <w:lang w:eastAsia="en-IN"/>
          </w:rPr>
          <w:t>Statement on Developmental and Regulatory Policies</w:t>
        </w:r>
      </w:hyperlink>
      <w:r w:rsidRPr="00470480">
        <w:rPr>
          <w:rFonts w:ascii="Arial" w:eastAsia="Times New Roman" w:hAnsi="Arial" w:cs="Arial"/>
          <w:color w:val="000000"/>
          <w:sz w:val="20"/>
          <w:szCs w:val="20"/>
          <w:lang w:eastAsia="en-IN"/>
        </w:rPr>
        <w:t> announced as a part of the </w:t>
      </w:r>
      <w:hyperlink r:id="rId6" w:tgtFrame="_blank" w:history="1">
        <w:r w:rsidRPr="00470480">
          <w:rPr>
            <w:rFonts w:ascii="Arial" w:eastAsia="Times New Roman" w:hAnsi="Arial" w:cs="Arial"/>
            <w:color w:val="0000FF"/>
            <w:sz w:val="20"/>
            <w:szCs w:val="20"/>
            <w:u w:val="single"/>
            <w:lang w:eastAsia="en-IN"/>
          </w:rPr>
          <w:t>Bi-monthly Monetary Policy Statement for 2019-20 dated February 06, 2020</w:t>
        </w:r>
      </w:hyperlink>
      <w:r w:rsidRPr="00470480">
        <w:rPr>
          <w:rFonts w:ascii="Arial" w:eastAsia="Times New Roman" w:hAnsi="Arial" w:cs="Arial"/>
          <w:color w:val="000000"/>
          <w:sz w:val="20"/>
          <w:szCs w:val="20"/>
          <w:lang w:eastAsia="en-IN"/>
        </w:rPr>
        <w:t>, on issuance of the Directions regarding exchange of variation margin (VM) for non-centrally cleared derivatives (NCCDs).</w:t>
      </w:r>
    </w:p>
    <w:p w:rsidR="00697BC8" w:rsidRPr="00470480" w:rsidRDefault="00697BC8" w:rsidP="00697BC8">
      <w:pPr>
        <w:spacing w:before="100" w:beforeAutospacing="1" w:after="100" w:afterAutospacing="1" w:line="240" w:lineRule="auto"/>
        <w:jc w:val="both"/>
        <w:rPr>
          <w:rFonts w:ascii="Arial" w:eastAsia="Times New Roman" w:hAnsi="Arial" w:cs="Arial"/>
          <w:color w:val="000000"/>
          <w:sz w:val="20"/>
          <w:szCs w:val="20"/>
          <w:lang w:eastAsia="en-IN"/>
        </w:rPr>
      </w:pPr>
      <w:r w:rsidRPr="00470480">
        <w:rPr>
          <w:rFonts w:ascii="Arial" w:eastAsia="Times New Roman" w:hAnsi="Arial" w:cs="Arial"/>
          <w:color w:val="000000"/>
          <w:sz w:val="20"/>
          <w:szCs w:val="20"/>
          <w:lang w:eastAsia="en-IN"/>
        </w:rPr>
        <w:t>2. Accordingly, the draft Variation Margin (Reserve Bank) Directions, 2020 were released for public comments on </w:t>
      </w:r>
      <w:hyperlink r:id="rId7" w:tgtFrame="_blank" w:history="1">
        <w:r w:rsidRPr="00470480">
          <w:rPr>
            <w:rFonts w:ascii="Arial" w:eastAsia="Times New Roman" w:hAnsi="Arial" w:cs="Arial"/>
            <w:color w:val="0000FF"/>
            <w:sz w:val="20"/>
            <w:szCs w:val="20"/>
            <w:u w:val="single"/>
            <w:lang w:eastAsia="en-IN"/>
          </w:rPr>
          <w:t>September 07, 2020</w:t>
        </w:r>
      </w:hyperlink>
      <w:r w:rsidRPr="00470480">
        <w:rPr>
          <w:rFonts w:ascii="Arial" w:eastAsia="Times New Roman" w:hAnsi="Arial" w:cs="Arial"/>
          <w:color w:val="000000"/>
          <w:sz w:val="20"/>
          <w:szCs w:val="20"/>
          <w:lang w:eastAsia="en-IN"/>
        </w:rPr>
        <w:t>. Based on the feedback received from the market participants, the draft Directions were reviewed and have since been finalised. The Master Direction – Reserve Bank of India (Variation Margin) Directions, 2022 are </w:t>
      </w:r>
      <w:hyperlink r:id="rId8" w:anchor="enclosed" w:history="1">
        <w:r w:rsidRPr="00470480">
          <w:rPr>
            <w:rFonts w:ascii="Arial" w:eastAsia="Times New Roman" w:hAnsi="Arial" w:cs="Arial"/>
            <w:color w:val="0000FF"/>
            <w:sz w:val="20"/>
            <w:szCs w:val="20"/>
            <w:u w:val="single"/>
            <w:lang w:eastAsia="en-IN"/>
          </w:rPr>
          <w:t>enclosed</w:t>
        </w:r>
      </w:hyperlink>
      <w:r w:rsidRPr="00470480">
        <w:rPr>
          <w:rFonts w:ascii="Arial" w:eastAsia="Times New Roman" w:hAnsi="Arial" w:cs="Arial"/>
          <w:color w:val="000000"/>
          <w:sz w:val="20"/>
          <w:szCs w:val="20"/>
          <w:lang w:eastAsia="en-IN"/>
        </w:rPr>
        <w:t> herewith.</w:t>
      </w:r>
    </w:p>
    <w:p w:rsidR="00697BC8" w:rsidRPr="00470480" w:rsidRDefault="00697BC8" w:rsidP="00697BC8">
      <w:pPr>
        <w:spacing w:before="100" w:beforeAutospacing="1" w:after="100" w:afterAutospacing="1" w:line="240" w:lineRule="auto"/>
        <w:jc w:val="right"/>
        <w:rPr>
          <w:rFonts w:ascii="Arial" w:eastAsia="Times New Roman" w:hAnsi="Arial" w:cs="Arial"/>
          <w:color w:val="000000"/>
          <w:sz w:val="20"/>
          <w:szCs w:val="20"/>
          <w:lang w:eastAsia="en-IN"/>
        </w:rPr>
      </w:pPr>
      <w:r w:rsidRPr="00470480">
        <w:rPr>
          <w:rFonts w:ascii="Arial" w:eastAsia="Times New Roman" w:hAnsi="Arial" w:cs="Arial"/>
          <w:color w:val="000000"/>
          <w:sz w:val="20"/>
          <w:szCs w:val="20"/>
          <w:lang w:eastAsia="en-IN"/>
        </w:rPr>
        <w:t>Yours faithfully,</w:t>
      </w:r>
    </w:p>
    <w:p w:rsidR="00697BC8" w:rsidRPr="00470480" w:rsidRDefault="00697BC8" w:rsidP="00697BC8">
      <w:pPr>
        <w:spacing w:before="100" w:beforeAutospacing="1" w:after="100" w:afterAutospacing="1" w:line="240" w:lineRule="auto"/>
        <w:jc w:val="right"/>
        <w:rPr>
          <w:rFonts w:ascii="Arial" w:eastAsia="Times New Roman" w:hAnsi="Arial" w:cs="Arial"/>
          <w:color w:val="000000"/>
          <w:sz w:val="20"/>
          <w:szCs w:val="20"/>
          <w:lang w:eastAsia="en-IN"/>
        </w:rPr>
      </w:pPr>
      <w:r w:rsidRPr="00470480">
        <w:rPr>
          <w:rFonts w:ascii="Arial" w:eastAsia="Times New Roman" w:hAnsi="Arial" w:cs="Arial"/>
          <w:color w:val="000000"/>
          <w:sz w:val="20"/>
          <w:szCs w:val="20"/>
          <w:lang w:eastAsia="en-IN"/>
        </w:rPr>
        <w:t xml:space="preserve">(Dimple </w:t>
      </w:r>
      <w:proofErr w:type="spellStart"/>
      <w:r w:rsidRPr="00470480">
        <w:rPr>
          <w:rFonts w:ascii="Arial" w:eastAsia="Times New Roman" w:hAnsi="Arial" w:cs="Arial"/>
          <w:color w:val="000000"/>
          <w:sz w:val="20"/>
          <w:szCs w:val="20"/>
          <w:lang w:eastAsia="en-IN"/>
        </w:rPr>
        <w:t>Bhandia</w:t>
      </w:r>
      <w:proofErr w:type="spellEnd"/>
      <w:r w:rsidRPr="00470480">
        <w:rPr>
          <w:rFonts w:ascii="Arial" w:eastAsia="Times New Roman" w:hAnsi="Arial" w:cs="Arial"/>
          <w:color w:val="000000"/>
          <w:sz w:val="20"/>
          <w:szCs w:val="20"/>
          <w:lang w:eastAsia="en-IN"/>
        </w:rPr>
        <w:t>)</w:t>
      </w:r>
      <w:r w:rsidRPr="00470480">
        <w:rPr>
          <w:rFonts w:ascii="Arial" w:eastAsia="Times New Roman" w:hAnsi="Arial" w:cs="Arial"/>
          <w:color w:val="000000"/>
          <w:sz w:val="20"/>
          <w:szCs w:val="20"/>
          <w:lang w:eastAsia="en-IN"/>
        </w:rPr>
        <w:br/>
        <w:t>Chief General Manager</w:t>
      </w:r>
    </w:p>
    <w:p w:rsidR="00697BC8" w:rsidRDefault="00697BC8" w:rsidP="00697BC8">
      <w:pPr>
        <w:spacing w:after="0"/>
        <w:jc w:val="both"/>
        <w:rPr>
          <w:rFonts w:ascii="Arial" w:hAnsi="Arial" w:cs="Arial"/>
          <w:sz w:val="20"/>
          <w:szCs w:val="20"/>
        </w:rPr>
      </w:pPr>
    </w:p>
    <w:p w:rsidR="00697BC8" w:rsidRDefault="00697BC8" w:rsidP="00697BC8">
      <w:pPr>
        <w:spacing w:after="0"/>
        <w:jc w:val="both"/>
        <w:rPr>
          <w:rFonts w:ascii="Arial" w:hAnsi="Arial" w:cs="Arial"/>
          <w:sz w:val="20"/>
          <w:szCs w:val="20"/>
        </w:rPr>
      </w:pPr>
    </w:p>
    <w:p w:rsidR="00697BC8" w:rsidRDefault="00697BC8" w:rsidP="00697BC8">
      <w:pPr>
        <w:spacing w:after="0"/>
        <w:jc w:val="both"/>
        <w:rPr>
          <w:rFonts w:ascii="Arial" w:hAnsi="Arial" w:cs="Arial"/>
          <w:sz w:val="20"/>
          <w:szCs w:val="20"/>
        </w:rPr>
      </w:pPr>
    </w:p>
    <w:p w:rsidR="00697BC8" w:rsidRPr="00470480" w:rsidRDefault="00697BC8" w:rsidP="00697BC8">
      <w:pPr>
        <w:spacing w:after="0"/>
        <w:jc w:val="both"/>
        <w:rPr>
          <w:rFonts w:ascii="Arial" w:hAnsi="Arial" w:cs="Arial"/>
          <w:sz w:val="20"/>
          <w:szCs w:val="20"/>
        </w:rPr>
      </w:pPr>
      <w:r>
        <w:rPr>
          <w:rFonts w:ascii="Arial" w:hAnsi="Arial" w:cs="Arial"/>
          <w:sz w:val="20"/>
          <w:szCs w:val="20"/>
        </w:rPr>
        <w:t xml:space="preserve">For the detailed Master Direction - </w:t>
      </w:r>
      <w:r w:rsidRPr="00827FA7">
        <w:rPr>
          <w:rFonts w:ascii="Arial" w:hAnsi="Arial" w:cs="Arial"/>
          <w:sz w:val="20"/>
          <w:szCs w:val="20"/>
        </w:rPr>
        <w:t>Reserve Bank of India (Variation Margin) Directions, 2022</w:t>
      </w:r>
      <w:r>
        <w:rPr>
          <w:rFonts w:ascii="Arial" w:hAnsi="Arial" w:cs="Arial"/>
          <w:sz w:val="20"/>
          <w:szCs w:val="20"/>
        </w:rPr>
        <w:t>, please refer to the link below.</w:t>
      </w:r>
    </w:p>
    <w:p w:rsidR="00697BC8" w:rsidRDefault="00697BC8" w:rsidP="00697BC8">
      <w:pPr>
        <w:spacing w:after="0"/>
        <w:jc w:val="both"/>
        <w:rPr>
          <w:rFonts w:ascii="Arial" w:hAnsi="Arial" w:cs="Arial"/>
          <w:sz w:val="20"/>
          <w:szCs w:val="20"/>
        </w:rPr>
      </w:pPr>
    </w:p>
    <w:p w:rsidR="00697BC8" w:rsidRPr="00470480" w:rsidRDefault="00697BC8" w:rsidP="00697BC8">
      <w:pPr>
        <w:spacing w:after="0"/>
        <w:jc w:val="both"/>
        <w:rPr>
          <w:rFonts w:ascii="Arial" w:hAnsi="Arial" w:cs="Arial"/>
          <w:sz w:val="20"/>
          <w:szCs w:val="20"/>
        </w:rPr>
      </w:pPr>
      <w:r w:rsidRPr="00470480">
        <w:rPr>
          <w:rFonts w:ascii="Arial" w:hAnsi="Arial" w:cs="Arial"/>
          <w:sz w:val="20"/>
          <w:szCs w:val="20"/>
        </w:rPr>
        <w:t xml:space="preserve">Reference Link: </w:t>
      </w:r>
      <w:hyperlink r:id="rId9" w:history="1">
        <w:r w:rsidRPr="00470480">
          <w:rPr>
            <w:rStyle w:val="Hyperlink"/>
            <w:rFonts w:ascii="Arial" w:hAnsi="Arial" w:cs="Arial"/>
            <w:sz w:val="20"/>
            <w:szCs w:val="20"/>
          </w:rPr>
          <w:t>https://www.rbi.org.in/Scripts/NotificationUser.aspx?Id=12328&amp;Mode=0</w:t>
        </w:r>
      </w:hyperlink>
    </w:p>
    <w:p w:rsidR="00697BC8" w:rsidRPr="00470480" w:rsidRDefault="00697BC8" w:rsidP="00697BC8">
      <w:pPr>
        <w:spacing w:after="0"/>
        <w:jc w:val="both"/>
        <w:rPr>
          <w:rFonts w:ascii="Arial" w:hAnsi="Arial" w:cs="Arial"/>
          <w:sz w:val="20"/>
          <w:szCs w:val="20"/>
        </w:rPr>
      </w:pPr>
    </w:p>
    <w:p w:rsidR="00697BC8" w:rsidRPr="00470480" w:rsidRDefault="00697BC8" w:rsidP="00697BC8">
      <w:pPr>
        <w:spacing w:after="0"/>
        <w:jc w:val="both"/>
        <w:rPr>
          <w:rFonts w:ascii="Arial" w:hAnsi="Arial" w:cs="Arial"/>
          <w:sz w:val="20"/>
          <w:szCs w:val="20"/>
        </w:rPr>
      </w:pPr>
    </w:p>
    <w:p w:rsidR="00697BC8" w:rsidRPr="00470480" w:rsidRDefault="00697BC8" w:rsidP="00697BC8">
      <w:pPr>
        <w:spacing w:after="0"/>
        <w:jc w:val="both"/>
        <w:rPr>
          <w:rFonts w:ascii="Arial" w:hAnsi="Arial" w:cs="Arial"/>
          <w:sz w:val="20"/>
          <w:szCs w:val="20"/>
        </w:rPr>
      </w:pPr>
    </w:p>
    <w:p w:rsidR="00697BC8" w:rsidRPr="00470480" w:rsidRDefault="00697BC8" w:rsidP="00697BC8">
      <w:pPr>
        <w:spacing w:after="0"/>
        <w:jc w:val="both"/>
        <w:rPr>
          <w:rFonts w:ascii="Arial" w:hAnsi="Arial" w:cs="Arial"/>
          <w:sz w:val="20"/>
          <w:szCs w:val="20"/>
        </w:rPr>
      </w:pPr>
    </w:p>
    <w:p w:rsidR="00697BC8" w:rsidRPr="00470480" w:rsidRDefault="00697BC8" w:rsidP="00697BC8">
      <w:pPr>
        <w:spacing w:after="0"/>
        <w:jc w:val="both"/>
        <w:rPr>
          <w:rFonts w:ascii="Arial" w:hAnsi="Arial" w:cs="Arial"/>
          <w:sz w:val="20"/>
          <w:szCs w:val="20"/>
        </w:rPr>
      </w:pPr>
    </w:p>
    <w:p w:rsidR="00697BC8" w:rsidRPr="00470480" w:rsidRDefault="00697BC8" w:rsidP="00697BC8">
      <w:pPr>
        <w:spacing w:after="0"/>
        <w:jc w:val="both"/>
        <w:rPr>
          <w:rFonts w:ascii="Arial" w:hAnsi="Arial" w:cs="Arial"/>
          <w:sz w:val="20"/>
          <w:szCs w:val="20"/>
        </w:rPr>
      </w:pPr>
    </w:p>
    <w:p w:rsidR="00697BC8" w:rsidRPr="00470480" w:rsidRDefault="00697BC8" w:rsidP="00697BC8">
      <w:pPr>
        <w:spacing w:after="0"/>
        <w:jc w:val="both"/>
        <w:rPr>
          <w:rFonts w:ascii="Arial" w:hAnsi="Arial" w:cs="Arial"/>
          <w:sz w:val="20"/>
          <w:szCs w:val="20"/>
        </w:rPr>
      </w:pPr>
    </w:p>
    <w:p w:rsidR="005533F8" w:rsidRDefault="005533F8" w:rsidP="005533F8">
      <w:pPr>
        <w:rPr>
          <w:rFonts w:ascii="Arial" w:hAnsi="Arial" w:cs="Arial"/>
          <w:b/>
          <w:bCs/>
          <w:color w:val="000000"/>
          <w:sz w:val="20"/>
          <w:szCs w:val="20"/>
        </w:rPr>
      </w:pPr>
    </w:p>
    <w:p w:rsidR="005533F8" w:rsidRDefault="005533F8" w:rsidP="005533F8">
      <w:pPr>
        <w:rPr>
          <w:rFonts w:ascii="Arial" w:hAnsi="Arial" w:cs="Arial"/>
          <w:b/>
          <w:bCs/>
          <w:color w:val="000000"/>
          <w:sz w:val="20"/>
          <w:szCs w:val="20"/>
        </w:rPr>
      </w:pPr>
    </w:p>
    <w:p w:rsidR="005533F8" w:rsidRDefault="005533F8" w:rsidP="005533F8">
      <w:pPr>
        <w:rPr>
          <w:rFonts w:ascii="Arial" w:hAnsi="Arial" w:cs="Arial"/>
          <w:b/>
          <w:bCs/>
          <w:color w:val="000000"/>
          <w:sz w:val="20"/>
          <w:szCs w:val="20"/>
        </w:rPr>
      </w:pPr>
    </w:p>
    <w:p w:rsidR="005533F8" w:rsidRDefault="005533F8" w:rsidP="005533F8">
      <w:pPr>
        <w:rPr>
          <w:rFonts w:ascii="Arial" w:hAnsi="Arial" w:cs="Arial"/>
          <w:b/>
          <w:bCs/>
          <w:color w:val="000000"/>
          <w:sz w:val="20"/>
          <w:szCs w:val="20"/>
        </w:rPr>
      </w:pPr>
    </w:p>
    <w:p w:rsidR="005533F8" w:rsidRDefault="005533F8" w:rsidP="005533F8">
      <w:pPr>
        <w:rPr>
          <w:rFonts w:ascii="Arial" w:hAnsi="Arial" w:cs="Arial"/>
          <w:b/>
          <w:bCs/>
          <w:color w:val="000000"/>
          <w:sz w:val="20"/>
          <w:szCs w:val="20"/>
        </w:rPr>
      </w:pPr>
    </w:p>
    <w:p w:rsidR="005533F8" w:rsidRDefault="005533F8" w:rsidP="005533F8">
      <w:pPr>
        <w:rPr>
          <w:rFonts w:ascii="Arial" w:hAnsi="Arial" w:cs="Arial"/>
          <w:b/>
          <w:bCs/>
          <w:color w:val="000000"/>
          <w:sz w:val="20"/>
          <w:szCs w:val="20"/>
        </w:rPr>
      </w:pPr>
    </w:p>
    <w:p w:rsidR="005533F8" w:rsidRDefault="005533F8" w:rsidP="005533F8">
      <w:pPr>
        <w:rPr>
          <w:rFonts w:ascii="Arial" w:hAnsi="Arial" w:cs="Arial"/>
          <w:b/>
          <w:bCs/>
          <w:color w:val="000000"/>
          <w:sz w:val="20"/>
          <w:szCs w:val="20"/>
        </w:rPr>
      </w:pPr>
    </w:p>
    <w:p w:rsidR="005533F8" w:rsidRDefault="005533F8" w:rsidP="005533F8">
      <w:pPr>
        <w:rPr>
          <w:rFonts w:ascii="Arial" w:hAnsi="Arial" w:cs="Arial"/>
          <w:b/>
          <w:bCs/>
          <w:color w:val="000000"/>
          <w:sz w:val="20"/>
          <w:szCs w:val="20"/>
        </w:rPr>
      </w:pPr>
    </w:p>
    <w:p w:rsidR="005533F8" w:rsidRDefault="005533F8" w:rsidP="005533F8">
      <w:pPr>
        <w:rPr>
          <w:rFonts w:ascii="Arial" w:hAnsi="Arial" w:cs="Arial"/>
          <w:b/>
          <w:bCs/>
          <w:color w:val="000000"/>
          <w:sz w:val="20"/>
          <w:szCs w:val="20"/>
        </w:rPr>
      </w:pPr>
    </w:p>
    <w:p w:rsidR="005533F8" w:rsidRDefault="005533F8" w:rsidP="005533F8">
      <w:pPr>
        <w:rPr>
          <w:rFonts w:ascii="Arial" w:hAnsi="Arial" w:cs="Arial"/>
          <w:b/>
          <w:bCs/>
          <w:color w:val="000000"/>
          <w:sz w:val="20"/>
          <w:szCs w:val="20"/>
        </w:rPr>
      </w:pPr>
    </w:p>
    <w:p w:rsidR="005533F8" w:rsidRDefault="005533F8" w:rsidP="005533F8">
      <w:pPr>
        <w:rPr>
          <w:rFonts w:ascii="Arial" w:hAnsi="Arial" w:cs="Arial"/>
          <w:b/>
          <w:bCs/>
          <w:color w:val="000000"/>
          <w:sz w:val="20"/>
          <w:szCs w:val="20"/>
        </w:rPr>
      </w:pPr>
    </w:p>
    <w:p w:rsidR="005533F8" w:rsidRDefault="005533F8" w:rsidP="005533F8">
      <w:pPr>
        <w:rPr>
          <w:rFonts w:ascii="Arial" w:hAnsi="Arial" w:cs="Arial"/>
          <w:b/>
          <w:bCs/>
          <w:color w:val="000000"/>
          <w:sz w:val="20"/>
          <w:szCs w:val="20"/>
        </w:rPr>
      </w:pPr>
    </w:p>
    <w:p w:rsidR="005533F8" w:rsidRDefault="005533F8" w:rsidP="005533F8">
      <w:pPr>
        <w:rPr>
          <w:rFonts w:ascii="Arial" w:hAnsi="Arial" w:cs="Arial"/>
          <w:b/>
          <w:bCs/>
          <w:color w:val="000000"/>
          <w:sz w:val="20"/>
          <w:szCs w:val="20"/>
        </w:rPr>
      </w:pPr>
    </w:p>
    <w:p w:rsidR="005533F8" w:rsidRDefault="005533F8" w:rsidP="005533F8">
      <w:pPr>
        <w:rPr>
          <w:rFonts w:ascii="Arial" w:hAnsi="Arial" w:cs="Arial"/>
          <w:b/>
          <w:bCs/>
          <w:color w:val="000000"/>
          <w:sz w:val="20"/>
          <w:szCs w:val="20"/>
        </w:rPr>
      </w:pPr>
    </w:p>
    <w:p w:rsidR="005533F8" w:rsidRDefault="005533F8" w:rsidP="005533F8">
      <w:pPr>
        <w:rPr>
          <w:rFonts w:ascii="Arial" w:hAnsi="Arial" w:cs="Arial"/>
          <w:b/>
          <w:bCs/>
          <w:color w:val="000000"/>
          <w:sz w:val="20"/>
          <w:szCs w:val="20"/>
        </w:rPr>
      </w:pPr>
    </w:p>
    <w:p w:rsidR="005533F8" w:rsidRDefault="005533F8" w:rsidP="005533F8">
      <w:pPr>
        <w:rPr>
          <w:rFonts w:ascii="Arial" w:hAnsi="Arial" w:cs="Arial"/>
          <w:b/>
          <w:bCs/>
          <w:color w:val="000000"/>
          <w:sz w:val="20"/>
          <w:szCs w:val="20"/>
        </w:rPr>
      </w:pPr>
    </w:p>
    <w:p w:rsidR="005533F8" w:rsidRDefault="005533F8" w:rsidP="005533F8">
      <w:pPr>
        <w:rPr>
          <w:rFonts w:ascii="Arial" w:hAnsi="Arial" w:cs="Arial"/>
          <w:b/>
          <w:bCs/>
          <w:color w:val="000000"/>
          <w:sz w:val="20"/>
          <w:szCs w:val="20"/>
        </w:rPr>
      </w:pPr>
    </w:p>
    <w:p w:rsidR="005533F8" w:rsidRDefault="005533F8" w:rsidP="005533F8">
      <w:pPr>
        <w:rPr>
          <w:rFonts w:ascii="Arial" w:hAnsi="Arial" w:cs="Arial"/>
          <w:b/>
          <w:bCs/>
          <w:color w:val="000000"/>
          <w:sz w:val="20"/>
          <w:szCs w:val="20"/>
        </w:rPr>
      </w:pPr>
    </w:p>
    <w:p w:rsidR="005533F8" w:rsidRDefault="005533F8" w:rsidP="005533F8">
      <w:pPr>
        <w:rPr>
          <w:rFonts w:ascii="Arial" w:hAnsi="Arial" w:cs="Arial"/>
          <w:b/>
          <w:bCs/>
          <w:color w:val="000000"/>
          <w:sz w:val="20"/>
          <w:szCs w:val="20"/>
        </w:rPr>
      </w:pPr>
    </w:p>
    <w:p w:rsidR="005533F8" w:rsidRDefault="005533F8" w:rsidP="005533F8">
      <w:pPr>
        <w:rPr>
          <w:rFonts w:ascii="Arial" w:hAnsi="Arial" w:cs="Arial"/>
          <w:b/>
          <w:bCs/>
          <w:color w:val="000000"/>
          <w:sz w:val="20"/>
          <w:szCs w:val="20"/>
        </w:rPr>
      </w:pPr>
    </w:p>
    <w:p w:rsidR="005533F8" w:rsidRDefault="005533F8" w:rsidP="005533F8">
      <w:pPr>
        <w:rPr>
          <w:rFonts w:ascii="Arial" w:hAnsi="Arial" w:cs="Arial"/>
          <w:b/>
          <w:bCs/>
          <w:color w:val="000000"/>
          <w:sz w:val="20"/>
          <w:szCs w:val="20"/>
        </w:rPr>
      </w:pPr>
    </w:p>
    <w:p w:rsidR="005533F8" w:rsidRDefault="005533F8" w:rsidP="005533F8">
      <w:pPr>
        <w:rPr>
          <w:rFonts w:ascii="Arial" w:hAnsi="Arial" w:cs="Arial"/>
          <w:b/>
          <w:bCs/>
          <w:color w:val="000000"/>
          <w:sz w:val="20"/>
          <w:szCs w:val="20"/>
        </w:rPr>
      </w:pPr>
    </w:p>
    <w:p w:rsidR="005533F8" w:rsidRDefault="005533F8" w:rsidP="005533F8">
      <w:pPr>
        <w:rPr>
          <w:rFonts w:ascii="Arial" w:hAnsi="Arial" w:cs="Arial"/>
          <w:b/>
          <w:bCs/>
          <w:color w:val="000000"/>
          <w:sz w:val="20"/>
          <w:szCs w:val="20"/>
        </w:rPr>
      </w:pPr>
    </w:p>
    <w:p w:rsidR="005533F8" w:rsidRDefault="005533F8" w:rsidP="005533F8">
      <w:pPr>
        <w:rPr>
          <w:rFonts w:ascii="Arial" w:hAnsi="Arial" w:cs="Arial"/>
          <w:b/>
          <w:bCs/>
          <w:color w:val="000000"/>
          <w:sz w:val="20"/>
          <w:szCs w:val="20"/>
        </w:rPr>
      </w:pPr>
    </w:p>
    <w:p w:rsidR="005533F8" w:rsidRDefault="005533F8" w:rsidP="005533F8">
      <w:pPr>
        <w:rPr>
          <w:rFonts w:ascii="Arial" w:hAnsi="Arial" w:cs="Arial"/>
          <w:b/>
          <w:bCs/>
          <w:color w:val="000000"/>
          <w:sz w:val="20"/>
          <w:szCs w:val="20"/>
        </w:rPr>
      </w:pPr>
    </w:p>
    <w:p w:rsidR="00697BC8" w:rsidRPr="005533F8" w:rsidRDefault="00697BC8" w:rsidP="005533F8">
      <w:pPr>
        <w:rPr>
          <w:rFonts w:ascii="Arial" w:hAnsi="Arial" w:cs="Arial"/>
          <w:sz w:val="20"/>
          <w:szCs w:val="20"/>
        </w:rPr>
      </w:pPr>
      <w:r w:rsidRPr="00470480">
        <w:rPr>
          <w:rFonts w:ascii="Arial" w:hAnsi="Arial" w:cs="Arial"/>
          <w:b/>
          <w:bCs/>
          <w:color w:val="000000"/>
          <w:sz w:val="20"/>
          <w:szCs w:val="20"/>
        </w:rPr>
        <w:lastRenderedPageBreak/>
        <w:t>Limits for investment in debt and sale of Credit Default Swaps by Foreign Portfolio Investors (FPIs)</w:t>
      </w:r>
    </w:p>
    <w:p w:rsidR="00697BC8" w:rsidRPr="00470480" w:rsidRDefault="00697BC8" w:rsidP="00697BC8">
      <w:pPr>
        <w:spacing w:after="0"/>
        <w:jc w:val="both"/>
        <w:rPr>
          <w:rFonts w:ascii="Arial" w:hAnsi="Arial" w:cs="Arial"/>
          <w:b/>
          <w:bCs/>
          <w:color w:val="000000"/>
          <w:sz w:val="20"/>
          <w:szCs w:val="20"/>
        </w:rPr>
      </w:pPr>
    </w:p>
    <w:p w:rsidR="00697BC8" w:rsidRPr="00470480" w:rsidRDefault="00697BC8" w:rsidP="00697BC8">
      <w:pPr>
        <w:pStyle w:val="NormalWeb"/>
        <w:jc w:val="both"/>
        <w:rPr>
          <w:rFonts w:ascii="Arial" w:hAnsi="Arial" w:cs="Arial"/>
          <w:color w:val="000000"/>
          <w:sz w:val="20"/>
          <w:szCs w:val="20"/>
        </w:rPr>
      </w:pPr>
      <w:r w:rsidRPr="00470480">
        <w:rPr>
          <w:rFonts w:ascii="Arial" w:hAnsi="Arial" w:cs="Arial"/>
          <w:color w:val="000000"/>
          <w:sz w:val="20"/>
          <w:szCs w:val="20"/>
        </w:rPr>
        <w:t>RBI/2022-23/28</w:t>
      </w:r>
      <w:r w:rsidRPr="00470480">
        <w:rPr>
          <w:rFonts w:ascii="Arial" w:hAnsi="Arial" w:cs="Arial"/>
          <w:color w:val="000000"/>
          <w:sz w:val="20"/>
          <w:szCs w:val="20"/>
        </w:rPr>
        <w:br/>
        <w:t>A.P. (DIR Series) Circular No. </w:t>
      </w:r>
      <w:r w:rsidRPr="00470480">
        <w:rPr>
          <w:rFonts w:ascii="Arial" w:hAnsi="Arial" w:cs="Arial"/>
          <w:color w:val="FF0000"/>
          <w:sz w:val="20"/>
          <w:szCs w:val="20"/>
        </w:rPr>
        <w:t>01 (revised number)</w:t>
      </w:r>
    </w:p>
    <w:p w:rsidR="00697BC8" w:rsidRPr="00470480" w:rsidRDefault="00697BC8" w:rsidP="00697BC8">
      <w:pPr>
        <w:pStyle w:val="NormalWeb"/>
        <w:jc w:val="right"/>
        <w:rPr>
          <w:rFonts w:ascii="Arial" w:hAnsi="Arial" w:cs="Arial"/>
          <w:color w:val="000000"/>
          <w:sz w:val="20"/>
          <w:szCs w:val="20"/>
        </w:rPr>
      </w:pPr>
      <w:r w:rsidRPr="00470480">
        <w:rPr>
          <w:rFonts w:ascii="Arial" w:hAnsi="Arial" w:cs="Arial"/>
          <w:color w:val="000000"/>
          <w:sz w:val="20"/>
          <w:szCs w:val="20"/>
        </w:rPr>
        <w:t>April 19, 2022</w:t>
      </w:r>
    </w:p>
    <w:p w:rsidR="00697BC8" w:rsidRPr="00470480" w:rsidRDefault="00697BC8" w:rsidP="00697BC8">
      <w:pPr>
        <w:pStyle w:val="NormalWeb"/>
        <w:jc w:val="both"/>
        <w:rPr>
          <w:rFonts w:ascii="Arial" w:hAnsi="Arial" w:cs="Arial"/>
          <w:color w:val="000000"/>
          <w:sz w:val="20"/>
          <w:szCs w:val="20"/>
        </w:rPr>
      </w:pPr>
      <w:r w:rsidRPr="00470480">
        <w:rPr>
          <w:rFonts w:ascii="Arial" w:hAnsi="Arial" w:cs="Arial"/>
          <w:color w:val="000000"/>
          <w:sz w:val="20"/>
          <w:szCs w:val="20"/>
        </w:rPr>
        <w:t>To,</w:t>
      </w:r>
    </w:p>
    <w:p w:rsidR="00697BC8" w:rsidRPr="00470480" w:rsidRDefault="00697BC8" w:rsidP="00697BC8">
      <w:pPr>
        <w:pStyle w:val="NormalWeb"/>
        <w:jc w:val="both"/>
        <w:rPr>
          <w:rFonts w:ascii="Arial" w:hAnsi="Arial" w:cs="Arial"/>
          <w:color w:val="000000"/>
          <w:sz w:val="20"/>
          <w:szCs w:val="20"/>
        </w:rPr>
      </w:pPr>
      <w:r w:rsidRPr="00470480">
        <w:rPr>
          <w:rFonts w:ascii="Arial" w:hAnsi="Arial" w:cs="Arial"/>
          <w:color w:val="000000"/>
          <w:sz w:val="20"/>
          <w:szCs w:val="20"/>
        </w:rPr>
        <w:t>All Authorized Persons</w:t>
      </w:r>
    </w:p>
    <w:p w:rsidR="00697BC8" w:rsidRPr="00470480" w:rsidRDefault="00697BC8" w:rsidP="00697BC8">
      <w:pPr>
        <w:pStyle w:val="NormalWeb"/>
        <w:jc w:val="both"/>
        <w:rPr>
          <w:rFonts w:ascii="Arial" w:hAnsi="Arial" w:cs="Arial"/>
          <w:color w:val="000000"/>
          <w:sz w:val="20"/>
          <w:szCs w:val="20"/>
        </w:rPr>
      </w:pPr>
      <w:r w:rsidRPr="00470480">
        <w:rPr>
          <w:rFonts w:ascii="Arial" w:hAnsi="Arial" w:cs="Arial"/>
          <w:color w:val="000000"/>
          <w:sz w:val="20"/>
          <w:szCs w:val="20"/>
        </w:rPr>
        <w:t>Madam / Sir</w:t>
      </w:r>
    </w:p>
    <w:p w:rsidR="00697BC8" w:rsidRPr="00470480" w:rsidRDefault="00697BC8" w:rsidP="00697BC8">
      <w:pPr>
        <w:pStyle w:val="head"/>
        <w:jc w:val="both"/>
        <w:rPr>
          <w:rFonts w:ascii="Arial" w:hAnsi="Arial" w:cs="Arial"/>
          <w:b/>
          <w:bCs/>
          <w:color w:val="000000"/>
          <w:sz w:val="20"/>
          <w:szCs w:val="20"/>
        </w:rPr>
      </w:pPr>
      <w:r w:rsidRPr="00470480">
        <w:rPr>
          <w:rFonts w:ascii="Arial" w:hAnsi="Arial" w:cs="Arial"/>
          <w:b/>
          <w:bCs/>
          <w:color w:val="000000"/>
          <w:sz w:val="20"/>
          <w:szCs w:val="20"/>
        </w:rPr>
        <w:t>Limits for investment in debt and sale of Credit Default Swaps by Foreign Portfolio Investors (FPIs)</w:t>
      </w:r>
    </w:p>
    <w:p w:rsidR="00697BC8" w:rsidRPr="00470480" w:rsidRDefault="00697BC8" w:rsidP="00697BC8">
      <w:pPr>
        <w:pStyle w:val="NormalWeb"/>
        <w:jc w:val="both"/>
        <w:rPr>
          <w:rFonts w:ascii="Arial" w:hAnsi="Arial" w:cs="Arial"/>
          <w:color w:val="000000"/>
          <w:sz w:val="20"/>
          <w:szCs w:val="20"/>
        </w:rPr>
      </w:pPr>
      <w:r w:rsidRPr="00470480">
        <w:rPr>
          <w:rFonts w:ascii="Arial" w:hAnsi="Arial" w:cs="Arial"/>
          <w:color w:val="000000"/>
          <w:sz w:val="20"/>
          <w:szCs w:val="20"/>
        </w:rPr>
        <w:t>Attention of Authorised Dealer Category-I (AD Category-I) banks is invited to Schedule 1 to the Foreign Exchange Management (Debt Instruments) Regulations, 2019 notified, vide </w:t>
      </w:r>
      <w:hyperlink r:id="rId10" w:tgtFrame="_blank" w:history="1">
        <w:r w:rsidRPr="00470480">
          <w:rPr>
            <w:rStyle w:val="Hyperlink"/>
            <w:rFonts w:ascii="Arial" w:hAnsi="Arial" w:cs="Arial"/>
            <w:sz w:val="20"/>
            <w:szCs w:val="20"/>
          </w:rPr>
          <w:t>Notification No. FEMA. 396/2019-RB dated October 17, 2019</w:t>
        </w:r>
      </w:hyperlink>
      <w:r w:rsidRPr="00470480">
        <w:rPr>
          <w:rFonts w:ascii="Arial" w:hAnsi="Arial" w:cs="Arial"/>
          <w:color w:val="000000"/>
          <w:sz w:val="20"/>
          <w:szCs w:val="20"/>
        </w:rPr>
        <w:t>, as amended from time to time and the relevant Directions issued thereunder.</w:t>
      </w:r>
    </w:p>
    <w:p w:rsidR="00697BC8" w:rsidRPr="00470480" w:rsidRDefault="00697BC8" w:rsidP="00697BC8">
      <w:pPr>
        <w:pStyle w:val="NormalWeb"/>
        <w:jc w:val="both"/>
        <w:rPr>
          <w:rFonts w:ascii="Arial" w:hAnsi="Arial" w:cs="Arial"/>
          <w:color w:val="000000"/>
          <w:sz w:val="20"/>
          <w:szCs w:val="20"/>
        </w:rPr>
      </w:pPr>
      <w:r w:rsidRPr="00470480">
        <w:rPr>
          <w:rFonts w:ascii="Arial" w:hAnsi="Arial" w:cs="Arial"/>
          <w:color w:val="000000"/>
          <w:sz w:val="20"/>
          <w:szCs w:val="20"/>
        </w:rPr>
        <w:t>2. A reference is also invited to the following directions issued by the Reserve Bank:</w:t>
      </w:r>
    </w:p>
    <w:p w:rsidR="00697BC8" w:rsidRPr="00470480" w:rsidRDefault="00552CD3" w:rsidP="00697BC8">
      <w:pPr>
        <w:pStyle w:val="NormalWeb"/>
        <w:numPr>
          <w:ilvl w:val="0"/>
          <w:numId w:val="1"/>
        </w:numPr>
        <w:ind w:left="0"/>
        <w:jc w:val="both"/>
        <w:rPr>
          <w:rFonts w:ascii="Arial" w:hAnsi="Arial" w:cs="Arial"/>
          <w:color w:val="000000"/>
          <w:sz w:val="20"/>
          <w:szCs w:val="20"/>
        </w:rPr>
      </w:pPr>
      <w:hyperlink r:id="rId11" w:tgtFrame="_blank" w:history="1">
        <w:r w:rsidR="00697BC8" w:rsidRPr="00470480">
          <w:rPr>
            <w:rStyle w:val="Hyperlink"/>
            <w:rFonts w:ascii="Arial" w:hAnsi="Arial" w:cs="Arial"/>
            <w:sz w:val="20"/>
            <w:szCs w:val="20"/>
          </w:rPr>
          <w:t>A.P. (DIR Series) Circular No. 25 dated March 30, 2020</w:t>
        </w:r>
      </w:hyperlink>
      <w:r w:rsidR="00697BC8" w:rsidRPr="00470480">
        <w:rPr>
          <w:rFonts w:ascii="Arial" w:hAnsi="Arial" w:cs="Arial"/>
          <w:color w:val="000000"/>
          <w:sz w:val="20"/>
          <w:szCs w:val="20"/>
        </w:rPr>
        <w:t>;</w:t>
      </w:r>
    </w:p>
    <w:p w:rsidR="00697BC8" w:rsidRPr="00470480" w:rsidRDefault="00552CD3" w:rsidP="00697BC8">
      <w:pPr>
        <w:pStyle w:val="NormalWeb"/>
        <w:numPr>
          <w:ilvl w:val="0"/>
          <w:numId w:val="1"/>
        </w:numPr>
        <w:ind w:left="0"/>
        <w:jc w:val="both"/>
        <w:rPr>
          <w:rFonts w:ascii="Arial" w:hAnsi="Arial" w:cs="Arial"/>
          <w:color w:val="000000"/>
          <w:sz w:val="20"/>
          <w:szCs w:val="20"/>
        </w:rPr>
      </w:pPr>
      <w:hyperlink r:id="rId12" w:tgtFrame="_blank" w:history="1">
        <w:r w:rsidR="00697BC8" w:rsidRPr="00470480">
          <w:rPr>
            <w:rStyle w:val="Hyperlink"/>
            <w:rFonts w:ascii="Arial" w:hAnsi="Arial" w:cs="Arial"/>
            <w:sz w:val="20"/>
            <w:szCs w:val="20"/>
          </w:rPr>
          <w:t>Circular No. FMRD.FMSD.No.25/14.01.006/2019-20 dated March 30, 2020</w:t>
        </w:r>
      </w:hyperlink>
      <w:r w:rsidR="00697BC8" w:rsidRPr="00470480">
        <w:rPr>
          <w:rFonts w:ascii="Arial" w:hAnsi="Arial" w:cs="Arial"/>
          <w:color w:val="000000"/>
          <w:sz w:val="20"/>
          <w:szCs w:val="20"/>
        </w:rPr>
        <w:t>;</w:t>
      </w:r>
    </w:p>
    <w:p w:rsidR="00697BC8" w:rsidRPr="00470480" w:rsidRDefault="00552CD3" w:rsidP="00697BC8">
      <w:pPr>
        <w:pStyle w:val="NormalWeb"/>
        <w:numPr>
          <w:ilvl w:val="0"/>
          <w:numId w:val="1"/>
        </w:numPr>
        <w:ind w:left="0"/>
        <w:jc w:val="both"/>
        <w:rPr>
          <w:rFonts w:ascii="Arial" w:hAnsi="Arial" w:cs="Arial"/>
          <w:color w:val="000000"/>
          <w:sz w:val="20"/>
          <w:szCs w:val="20"/>
        </w:rPr>
      </w:pPr>
      <w:hyperlink r:id="rId13" w:tgtFrame="_blank" w:history="1">
        <w:r w:rsidR="00697BC8" w:rsidRPr="00470480">
          <w:rPr>
            <w:rStyle w:val="Hyperlink"/>
            <w:rFonts w:ascii="Arial" w:hAnsi="Arial" w:cs="Arial"/>
            <w:sz w:val="20"/>
            <w:szCs w:val="20"/>
          </w:rPr>
          <w:t>A.P. (DIR Series) Circular No. 05 dated May 31, 2021</w:t>
        </w:r>
      </w:hyperlink>
      <w:r w:rsidR="00697BC8" w:rsidRPr="00470480">
        <w:rPr>
          <w:rFonts w:ascii="Arial" w:hAnsi="Arial" w:cs="Arial"/>
          <w:color w:val="000000"/>
          <w:sz w:val="20"/>
          <w:szCs w:val="20"/>
        </w:rPr>
        <w:t>; and</w:t>
      </w:r>
    </w:p>
    <w:p w:rsidR="00697BC8" w:rsidRPr="00470480" w:rsidRDefault="00552CD3" w:rsidP="00697BC8">
      <w:pPr>
        <w:pStyle w:val="NormalWeb"/>
        <w:numPr>
          <w:ilvl w:val="0"/>
          <w:numId w:val="1"/>
        </w:numPr>
        <w:ind w:left="0"/>
        <w:jc w:val="both"/>
        <w:rPr>
          <w:rFonts w:ascii="Arial" w:hAnsi="Arial" w:cs="Arial"/>
          <w:color w:val="000000"/>
          <w:sz w:val="20"/>
          <w:szCs w:val="20"/>
        </w:rPr>
      </w:pPr>
      <w:hyperlink r:id="rId14" w:tgtFrame="_blank" w:history="1">
        <w:r w:rsidR="00697BC8" w:rsidRPr="00470480">
          <w:rPr>
            <w:rStyle w:val="Hyperlink"/>
            <w:rFonts w:ascii="Arial" w:hAnsi="Arial" w:cs="Arial"/>
            <w:sz w:val="20"/>
            <w:szCs w:val="20"/>
          </w:rPr>
          <w:t>A.P. (DIR Series) Circular No. 23 dated February 10, 2022</w:t>
        </w:r>
      </w:hyperlink>
      <w:r w:rsidR="00697BC8" w:rsidRPr="00470480">
        <w:rPr>
          <w:rFonts w:ascii="Arial" w:hAnsi="Arial" w:cs="Arial"/>
          <w:color w:val="000000"/>
          <w:sz w:val="20"/>
          <w:szCs w:val="20"/>
        </w:rPr>
        <w:t>.</w:t>
      </w:r>
    </w:p>
    <w:p w:rsidR="00697BC8" w:rsidRPr="00470480" w:rsidRDefault="00697BC8" w:rsidP="00697BC8">
      <w:pPr>
        <w:pStyle w:val="head"/>
        <w:jc w:val="both"/>
        <w:rPr>
          <w:rFonts w:ascii="Arial" w:hAnsi="Arial" w:cs="Arial"/>
          <w:b/>
          <w:bCs/>
          <w:color w:val="000000"/>
          <w:sz w:val="20"/>
          <w:szCs w:val="20"/>
        </w:rPr>
      </w:pPr>
      <w:r w:rsidRPr="00470480">
        <w:rPr>
          <w:rFonts w:ascii="Arial" w:hAnsi="Arial" w:cs="Arial"/>
          <w:b/>
          <w:bCs/>
          <w:color w:val="000000"/>
          <w:sz w:val="20"/>
          <w:szCs w:val="20"/>
        </w:rPr>
        <w:t>3. Investment Limits for the financial year (FY) 2022-23:</w:t>
      </w:r>
    </w:p>
    <w:p w:rsidR="00697BC8" w:rsidRPr="00470480" w:rsidRDefault="00697BC8" w:rsidP="00697BC8">
      <w:pPr>
        <w:pStyle w:val="NormalWeb"/>
        <w:numPr>
          <w:ilvl w:val="0"/>
          <w:numId w:val="2"/>
        </w:numPr>
        <w:ind w:left="0"/>
        <w:jc w:val="both"/>
        <w:rPr>
          <w:rFonts w:ascii="Arial" w:hAnsi="Arial" w:cs="Arial"/>
          <w:color w:val="000000"/>
          <w:sz w:val="20"/>
          <w:szCs w:val="20"/>
        </w:rPr>
      </w:pPr>
      <w:r w:rsidRPr="00470480">
        <w:rPr>
          <w:rFonts w:ascii="Arial" w:hAnsi="Arial" w:cs="Arial"/>
          <w:color w:val="000000"/>
          <w:sz w:val="20"/>
          <w:szCs w:val="20"/>
        </w:rPr>
        <w:t>The limits for FPI investment in Government securities (G-secs), State Development Loans (SDLs) and corporate bonds shall remain unchanged at 6%, 2% and 15% respectively, of outstanding stocks of securities for FY 2022-23.</w:t>
      </w:r>
    </w:p>
    <w:p w:rsidR="00697BC8" w:rsidRPr="00470480" w:rsidRDefault="00697BC8" w:rsidP="00697BC8">
      <w:pPr>
        <w:pStyle w:val="NormalWeb"/>
        <w:numPr>
          <w:ilvl w:val="0"/>
          <w:numId w:val="2"/>
        </w:numPr>
        <w:ind w:left="0"/>
        <w:jc w:val="both"/>
        <w:rPr>
          <w:rFonts w:ascii="Arial" w:hAnsi="Arial" w:cs="Arial"/>
          <w:color w:val="000000"/>
          <w:sz w:val="20"/>
          <w:szCs w:val="20"/>
        </w:rPr>
      </w:pPr>
      <w:r w:rsidRPr="00470480">
        <w:rPr>
          <w:rFonts w:ascii="Arial" w:hAnsi="Arial" w:cs="Arial"/>
          <w:color w:val="000000"/>
          <w:sz w:val="20"/>
          <w:szCs w:val="20"/>
        </w:rPr>
        <w:t>As hitherto, all investments by eligible investors in the ‘specified securities’ shall be reckoned under the Fully Accessible Route (FAR) in terms of </w:t>
      </w:r>
      <w:hyperlink r:id="rId15" w:tgtFrame="_blank" w:history="1">
        <w:r w:rsidRPr="00470480">
          <w:rPr>
            <w:rStyle w:val="Hyperlink"/>
            <w:rFonts w:ascii="Arial" w:hAnsi="Arial" w:cs="Arial"/>
            <w:sz w:val="20"/>
            <w:szCs w:val="20"/>
          </w:rPr>
          <w:t>A.P. (DIR Series) Circular No. 25 dated March 30, 2020</w:t>
        </w:r>
      </w:hyperlink>
      <w:r w:rsidRPr="00470480">
        <w:rPr>
          <w:rFonts w:ascii="Arial" w:hAnsi="Arial" w:cs="Arial"/>
          <w:color w:val="000000"/>
          <w:sz w:val="20"/>
          <w:szCs w:val="20"/>
        </w:rPr>
        <w:t>.</w:t>
      </w:r>
    </w:p>
    <w:p w:rsidR="00697BC8" w:rsidRPr="00470480" w:rsidRDefault="00697BC8" w:rsidP="00697BC8">
      <w:pPr>
        <w:pStyle w:val="NormalWeb"/>
        <w:numPr>
          <w:ilvl w:val="0"/>
          <w:numId w:val="2"/>
        </w:numPr>
        <w:ind w:left="0"/>
        <w:jc w:val="both"/>
        <w:rPr>
          <w:rFonts w:ascii="Arial" w:hAnsi="Arial" w:cs="Arial"/>
          <w:color w:val="000000"/>
          <w:sz w:val="20"/>
          <w:szCs w:val="20"/>
        </w:rPr>
      </w:pPr>
      <w:r w:rsidRPr="00470480">
        <w:rPr>
          <w:rFonts w:ascii="Arial" w:hAnsi="Arial" w:cs="Arial"/>
          <w:color w:val="000000"/>
          <w:sz w:val="20"/>
          <w:szCs w:val="20"/>
        </w:rPr>
        <w:t>The allocation of incremental changes in the G-sec limit (in absolute terms) over the two sub-categories – ‘General’ and ‘Long-term’ – shall be retained at 50:50 for FY 2022-23.</w:t>
      </w:r>
    </w:p>
    <w:p w:rsidR="00697BC8" w:rsidRDefault="00697BC8" w:rsidP="00697BC8">
      <w:pPr>
        <w:pStyle w:val="NormalWeb"/>
        <w:numPr>
          <w:ilvl w:val="0"/>
          <w:numId w:val="2"/>
        </w:numPr>
        <w:ind w:left="0"/>
        <w:jc w:val="both"/>
        <w:rPr>
          <w:rFonts w:ascii="Arial" w:hAnsi="Arial" w:cs="Arial"/>
          <w:color w:val="000000"/>
          <w:sz w:val="20"/>
          <w:szCs w:val="20"/>
        </w:rPr>
      </w:pPr>
      <w:r w:rsidRPr="00470480">
        <w:rPr>
          <w:rFonts w:ascii="Arial" w:hAnsi="Arial" w:cs="Arial"/>
          <w:color w:val="000000"/>
          <w:sz w:val="20"/>
          <w:szCs w:val="20"/>
        </w:rPr>
        <w:t>The entire increase in limits for SDLs (in absolute terms) has been added to the ‘General’ sub-category of SDLs.</w:t>
      </w:r>
    </w:p>
    <w:p w:rsidR="00697BC8" w:rsidRDefault="00697BC8" w:rsidP="00697BC8">
      <w:pPr>
        <w:pStyle w:val="NormalWeb"/>
        <w:jc w:val="both"/>
        <w:rPr>
          <w:rFonts w:ascii="Arial" w:hAnsi="Arial" w:cs="Arial"/>
          <w:color w:val="000000"/>
          <w:sz w:val="20"/>
          <w:szCs w:val="20"/>
        </w:rPr>
      </w:pPr>
    </w:p>
    <w:p w:rsidR="00697BC8" w:rsidRPr="005F6218" w:rsidRDefault="00697BC8" w:rsidP="00697BC8">
      <w:pPr>
        <w:pStyle w:val="NormalWeb"/>
        <w:jc w:val="both"/>
        <w:rPr>
          <w:rFonts w:ascii="Arial" w:hAnsi="Arial" w:cs="Arial"/>
          <w:color w:val="000000"/>
          <w:sz w:val="20"/>
          <w:szCs w:val="20"/>
        </w:rPr>
      </w:pPr>
      <w:r w:rsidRPr="005F6218">
        <w:rPr>
          <w:rFonts w:ascii="Arial" w:hAnsi="Arial" w:cs="Arial"/>
          <w:color w:val="000000"/>
          <w:sz w:val="20"/>
          <w:szCs w:val="20"/>
        </w:rPr>
        <w:t xml:space="preserve">For the revised limits (in absolute terms) for the different categories and other details, refer to the link provided below. </w:t>
      </w:r>
    </w:p>
    <w:p w:rsidR="00697BC8" w:rsidRPr="00470480" w:rsidRDefault="00697BC8" w:rsidP="00697BC8">
      <w:pPr>
        <w:spacing w:after="0"/>
        <w:jc w:val="both"/>
        <w:rPr>
          <w:rFonts w:ascii="Arial" w:hAnsi="Arial" w:cs="Arial"/>
          <w:sz w:val="20"/>
          <w:szCs w:val="20"/>
        </w:rPr>
      </w:pPr>
      <w:r w:rsidRPr="00470480">
        <w:rPr>
          <w:rFonts w:ascii="Arial" w:hAnsi="Arial" w:cs="Arial"/>
          <w:sz w:val="20"/>
          <w:szCs w:val="20"/>
        </w:rPr>
        <w:t xml:space="preserve">Reference Link: </w:t>
      </w:r>
      <w:hyperlink r:id="rId16" w:history="1">
        <w:r w:rsidRPr="00470480">
          <w:rPr>
            <w:rStyle w:val="Hyperlink"/>
            <w:rFonts w:ascii="Arial" w:hAnsi="Arial" w:cs="Arial"/>
            <w:sz w:val="20"/>
            <w:szCs w:val="20"/>
          </w:rPr>
          <w:t>https://www.rbi.org.in/Scripts/NotificationUser.aspx?Id=12295&amp;Mode=0</w:t>
        </w:r>
      </w:hyperlink>
    </w:p>
    <w:p w:rsidR="00697BC8" w:rsidRPr="00470480" w:rsidRDefault="00697BC8" w:rsidP="00697BC8">
      <w:pPr>
        <w:spacing w:after="0"/>
        <w:jc w:val="both"/>
        <w:rPr>
          <w:rFonts w:ascii="Arial" w:hAnsi="Arial" w:cs="Arial"/>
          <w:sz w:val="20"/>
          <w:szCs w:val="20"/>
        </w:rPr>
      </w:pPr>
      <w:r w:rsidRPr="00470480">
        <w:rPr>
          <w:rFonts w:ascii="Arial" w:hAnsi="Arial" w:cs="Arial"/>
          <w:sz w:val="20"/>
          <w:szCs w:val="20"/>
        </w:rPr>
        <w:tab/>
      </w:r>
    </w:p>
    <w:p w:rsidR="00697BC8" w:rsidRPr="00470480" w:rsidRDefault="00697BC8" w:rsidP="00697BC8">
      <w:pPr>
        <w:spacing w:after="0"/>
        <w:jc w:val="both"/>
        <w:rPr>
          <w:rFonts w:ascii="Arial" w:hAnsi="Arial" w:cs="Arial"/>
          <w:sz w:val="20"/>
          <w:szCs w:val="20"/>
        </w:rPr>
      </w:pPr>
    </w:p>
    <w:p w:rsidR="00697BC8" w:rsidRPr="00470480" w:rsidRDefault="00697BC8" w:rsidP="00697BC8">
      <w:pPr>
        <w:spacing w:after="0"/>
        <w:jc w:val="both"/>
        <w:rPr>
          <w:rFonts w:ascii="Arial" w:hAnsi="Arial" w:cs="Arial"/>
          <w:sz w:val="20"/>
          <w:szCs w:val="20"/>
        </w:rPr>
      </w:pPr>
    </w:p>
    <w:p w:rsidR="00697BC8" w:rsidRPr="00470480" w:rsidRDefault="00697BC8" w:rsidP="00697BC8">
      <w:pPr>
        <w:spacing w:after="0"/>
        <w:jc w:val="both"/>
        <w:rPr>
          <w:rFonts w:ascii="Arial" w:hAnsi="Arial" w:cs="Arial"/>
          <w:sz w:val="20"/>
          <w:szCs w:val="20"/>
        </w:rPr>
      </w:pPr>
    </w:p>
    <w:p w:rsidR="00697BC8" w:rsidRPr="00470480" w:rsidRDefault="00697BC8" w:rsidP="00697BC8">
      <w:pPr>
        <w:spacing w:after="0"/>
        <w:jc w:val="both"/>
        <w:rPr>
          <w:rFonts w:ascii="Arial" w:hAnsi="Arial" w:cs="Arial"/>
          <w:sz w:val="20"/>
          <w:szCs w:val="20"/>
        </w:rPr>
      </w:pPr>
    </w:p>
    <w:p w:rsidR="00697BC8" w:rsidRPr="00470480" w:rsidRDefault="00697BC8" w:rsidP="00697BC8">
      <w:pPr>
        <w:spacing w:after="0"/>
        <w:jc w:val="both"/>
        <w:rPr>
          <w:rFonts w:ascii="Arial" w:hAnsi="Arial" w:cs="Arial"/>
          <w:sz w:val="20"/>
          <w:szCs w:val="20"/>
        </w:rPr>
      </w:pPr>
    </w:p>
    <w:p w:rsidR="00697BC8" w:rsidRPr="00470480" w:rsidRDefault="00697BC8" w:rsidP="00697BC8">
      <w:pPr>
        <w:spacing w:after="0"/>
        <w:jc w:val="both"/>
        <w:rPr>
          <w:rFonts w:ascii="Arial" w:hAnsi="Arial" w:cs="Arial"/>
          <w:sz w:val="20"/>
          <w:szCs w:val="20"/>
        </w:rPr>
      </w:pPr>
    </w:p>
    <w:p w:rsidR="00697BC8" w:rsidRDefault="00697BC8" w:rsidP="00697BC8">
      <w:pPr>
        <w:spacing w:after="0"/>
        <w:jc w:val="both"/>
        <w:rPr>
          <w:rFonts w:ascii="Arial" w:hAnsi="Arial" w:cs="Arial"/>
          <w:sz w:val="20"/>
          <w:szCs w:val="20"/>
        </w:rPr>
      </w:pPr>
    </w:p>
    <w:p w:rsidR="00697BC8" w:rsidRPr="00470480" w:rsidRDefault="00697BC8" w:rsidP="00697BC8">
      <w:pPr>
        <w:pStyle w:val="NormalWeb"/>
        <w:jc w:val="both"/>
        <w:rPr>
          <w:rFonts w:ascii="Arial" w:hAnsi="Arial" w:cs="Arial"/>
          <w:b/>
          <w:bCs/>
          <w:color w:val="000000"/>
          <w:sz w:val="20"/>
          <w:szCs w:val="20"/>
        </w:rPr>
      </w:pPr>
      <w:r w:rsidRPr="00470480">
        <w:rPr>
          <w:rFonts w:ascii="Arial" w:hAnsi="Arial" w:cs="Arial"/>
          <w:b/>
          <w:bCs/>
          <w:color w:val="000000"/>
          <w:sz w:val="20"/>
          <w:szCs w:val="20"/>
        </w:rPr>
        <w:lastRenderedPageBreak/>
        <w:t>Review of SLR holdings in HTM category</w:t>
      </w:r>
    </w:p>
    <w:p w:rsidR="00697BC8" w:rsidRPr="00470480" w:rsidRDefault="00697BC8" w:rsidP="00697BC8">
      <w:pPr>
        <w:pStyle w:val="NormalWeb"/>
        <w:jc w:val="both"/>
        <w:rPr>
          <w:rFonts w:ascii="Arial" w:hAnsi="Arial" w:cs="Arial"/>
          <w:color w:val="000000"/>
          <w:sz w:val="20"/>
          <w:szCs w:val="20"/>
        </w:rPr>
      </w:pPr>
      <w:r w:rsidRPr="00470480">
        <w:rPr>
          <w:rFonts w:ascii="Arial" w:hAnsi="Arial" w:cs="Arial"/>
          <w:color w:val="000000"/>
          <w:sz w:val="20"/>
          <w:szCs w:val="20"/>
        </w:rPr>
        <w:t>RBI/2022-23/21</w:t>
      </w:r>
      <w:r w:rsidRPr="00470480">
        <w:rPr>
          <w:rFonts w:ascii="Arial" w:hAnsi="Arial" w:cs="Arial"/>
          <w:color w:val="000000"/>
          <w:sz w:val="20"/>
          <w:szCs w:val="20"/>
        </w:rPr>
        <w:br/>
        <w:t>DOR.MRG.REC.14/21.04.141/2022-23</w:t>
      </w:r>
    </w:p>
    <w:p w:rsidR="00697BC8" w:rsidRPr="00470480" w:rsidRDefault="00697BC8" w:rsidP="00697BC8">
      <w:pPr>
        <w:pStyle w:val="NormalWeb"/>
        <w:jc w:val="right"/>
        <w:rPr>
          <w:rFonts w:ascii="Arial" w:hAnsi="Arial" w:cs="Arial"/>
          <w:color w:val="000000"/>
          <w:sz w:val="20"/>
          <w:szCs w:val="20"/>
        </w:rPr>
      </w:pPr>
      <w:r w:rsidRPr="00470480">
        <w:rPr>
          <w:rFonts w:ascii="Arial" w:hAnsi="Arial" w:cs="Arial"/>
          <w:color w:val="000000"/>
          <w:sz w:val="20"/>
          <w:szCs w:val="20"/>
        </w:rPr>
        <w:t>April 08, 2022</w:t>
      </w:r>
    </w:p>
    <w:p w:rsidR="00697BC8" w:rsidRPr="00470480" w:rsidRDefault="00697BC8" w:rsidP="00697BC8">
      <w:pPr>
        <w:pStyle w:val="NormalWeb"/>
        <w:jc w:val="both"/>
        <w:rPr>
          <w:rFonts w:ascii="Arial" w:hAnsi="Arial" w:cs="Arial"/>
          <w:color w:val="000000"/>
          <w:sz w:val="20"/>
          <w:szCs w:val="20"/>
        </w:rPr>
      </w:pPr>
      <w:r w:rsidRPr="00470480">
        <w:rPr>
          <w:rFonts w:ascii="Arial" w:hAnsi="Arial" w:cs="Arial"/>
          <w:color w:val="000000"/>
          <w:sz w:val="20"/>
          <w:szCs w:val="20"/>
        </w:rPr>
        <w:t>Dear Sir / Madam,</w:t>
      </w:r>
    </w:p>
    <w:p w:rsidR="00697BC8" w:rsidRPr="00470480" w:rsidRDefault="00697BC8" w:rsidP="00697BC8">
      <w:pPr>
        <w:pStyle w:val="head"/>
        <w:jc w:val="both"/>
        <w:rPr>
          <w:rFonts w:ascii="Arial" w:hAnsi="Arial" w:cs="Arial"/>
          <w:b/>
          <w:bCs/>
          <w:color w:val="000000"/>
          <w:sz w:val="20"/>
          <w:szCs w:val="20"/>
        </w:rPr>
      </w:pPr>
      <w:r w:rsidRPr="00470480">
        <w:rPr>
          <w:rFonts w:ascii="Arial" w:hAnsi="Arial" w:cs="Arial"/>
          <w:b/>
          <w:bCs/>
          <w:color w:val="000000"/>
          <w:sz w:val="20"/>
          <w:szCs w:val="20"/>
        </w:rPr>
        <w:t>Review of SLR holdings in HTM category</w:t>
      </w:r>
    </w:p>
    <w:p w:rsidR="00697BC8" w:rsidRPr="00470480" w:rsidRDefault="00697BC8" w:rsidP="00697BC8">
      <w:pPr>
        <w:pStyle w:val="NormalWeb"/>
        <w:jc w:val="both"/>
        <w:rPr>
          <w:rFonts w:ascii="Arial" w:hAnsi="Arial" w:cs="Arial"/>
          <w:color w:val="000000"/>
          <w:sz w:val="20"/>
          <w:szCs w:val="20"/>
        </w:rPr>
      </w:pPr>
      <w:r w:rsidRPr="00470480">
        <w:rPr>
          <w:rFonts w:ascii="Arial" w:hAnsi="Arial" w:cs="Arial"/>
          <w:color w:val="000000"/>
          <w:sz w:val="20"/>
          <w:szCs w:val="20"/>
        </w:rPr>
        <w:t>Please refer to paragraph 4 of </w:t>
      </w:r>
      <w:hyperlink r:id="rId17" w:tgtFrame="_blank" w:history="1">
        <w:r w:rsidRPr="00470480">
          <w:rPr>
            <w:rStyle w:val="Hyperlink"/>
            <w:rFonts w:ascii="Arial" w:hAnsi="Arial" w:cs="Arial"/>
            <w:sz w:val="20"/>
            <w:szCs w:val="20"/>
          </w:rPr>
          <w:t>Statement on Development and Regulatory Policies</w:t>
        </w:r>
      </w:hyperlink>
      <w:r w:rsidRPr="00470480">
        <w:rPr>
          <w:rFonts w:ascii="Arial" w:hAnsi="Arial" w:cs="Arial"/>
          <w:color w:val="000000"/>
          <w:sz w:val="20"/>
          <w:szCs w:val="20"/>
        </w:rPr>
        <w:t> of the </w:t>
      </w:r>
      <w:hyperlink r:id="rId18" w:tgtFrame="_blank" w:history="1">
        <w:r w:rsidRPr="00470480">
          <w:rPr>
            <w:rStyle w:val="Hyperlink"/>
            <w:rFonts w:ascii="Arial" w:hAnsi="Arial" w:cs="Arial"/>
            <w:sz w:val="20"/>
            <w:szCs w:val="20"/>
          </w:rPr>
          <w:t>Monetary Policy Statement, 2022-23 dated April 08, 2022</w:t>
        </w:r>
      </w:hyperlink>
      <w:r w:rsidRPr="00470480">
        <w:rPr>
          <w:rFonts w:ascii="Arial" w:hAnsi="Arial" w:cs="Arial"/>
          <w:color w:val="000000"/>
          <w:sz w:val="20"/>
          <w:szCs w:val="20"/>
        </w:rPr>
        <w:t> and Section 6(iv)(a) of </w:t>
      </w:r>
      <w:hyperlink r:id="rId19" w:tgtFrame="_blank" w:history="1">
        <w:r w:rsidRPr="00470480">
          <w:rPr>
            <w:rStyle w:val="Hyperlink"/>
            <w:rFonts w:ascii="Arial" w:hAnsi="Arial" w:cs="Arial"/>
            <w:sz w:val="20"/>
            <w:szCs w:val="20"/>
          </w:rPr>
          <w:t>Master Direction - Classification, Valuation and Operation of Investment Portfolio of Commercial Banks (Directions), 2021 dated August 25, 2021</w:t>
        </w:r>
      </w:hyperlink>
      <w:r w:rsidRPr="00470480">
        <w:rPr>
          <w:rFonts w:ascii="Arial" w:hAnsi="Arial" w:cs="Arial"/>
          <w:color w:val="000000"/>
          <w:sz w:val="20"/>
          <w:szCs w:val="20"/>
        </w:rPr>
        <w:t>.</w:t>
      </w:r>
    </w:p>
    <w:p w:rsidR="00697BC8" w:rsidRPr="00470480" w:rsidRDefault="00697BC8" w:rsidP="00697BC8">
      <w:pPr>
        <w:pStyle w:val="NormalWeb"/>
        <w:jc w:val="both"/>
        <w:rPr>
          <w:rFonts w:ascii="Arial" w:hAnsi="Arial" w:cs="Arial"/>
          <w:color w:val="000000"/>
          <w:sz w:val="20"/>
          <w:szCs w:val="20"/>
        </w:rPr>
      </w:pPr>
      <w:r w:rsidRPr="00470480">
        <w:rPr>
          <w:rFonts w:ascii="Arial" w:hAnsi="Arial" w:cs="Arial"/>
          <w:color w:val="000000"/>
          <w:sz w:val="20"/>
          <w:szCs w:val="20"/>
        </w:rPr>
        <w:t>2. At present, banks have been granted a special dispensation of enhanced Held to Maturity (HTM) limit of 22 per cent of Net Demand and Time Liabilities (NDTL), for Statutory Liquidity Ratio (SLR) eligible securities acquired between September 1, 2020 and March 31, 2022, until March 31, 2023.</w:t>
      </w:r>
    </w:p>
    <w:p w:rsidR="00697BC8" w:rsidRPr="00470480" w:rsidRDefault="00697BC8" w:rsidP="00697BC8">
      <w:pPr>
        <w:pStyle w:val="NormalWeb"/>
        <w:jc w:val="both"/>
        <w:rPr>
          <w:rFonts w:ascii="Arial" w:hAnsi="Arial" w:cs="Arial"/>
          <w:color w:val="000000"/>
          <w:sz w:val="20"/>
          <w:szCs w:val="20"/>
        </w:rPr>
      </w:pPr>
      <w:r w:rsidRPr="00470480">
        <w:rPr>
          <w:rFonts w:ascii="Arial" w:hAnsi="Arial" w:cs="Arial"/>
          <w:color w:val="000000"/>
          <w:sz w:val="20"/>
          <w:szCs w:val="20"/>
        </w:rPr>
        <w:t>3. On a review, it has now been decided to further enhance the existing HTM limit of 22 per cent of NDTL to 23 per cent of NDTL and allow banks to include securities acquired between April 1, 2022 and March 31, 2023 under the enhanced limit of 23 per cent.</w:t>
      </w:r>
    </w:p>
    <w:p w:rsidR="00697BC8" w:rsidRPr="00470480" w:rsidRDefault="00697BC8" w:rsidP="00697BC8">
      <w:pPr>
        <w:pStyle w:val="NormalWeb"/>
        <w:jc w:val="both"/>
        <w:rPr>
          <w:rFonts w:ascii="Arial" w:hAnsi="Arial" w:cs="Arial"/>
          <w:color w:val="000000"/>
          <w:sz w:val="20"/>
          <w:szCs w:val="20"/>
        </w:rPr>
      </w:pPr>
      <w:r w:rsidRPr="00470480">
        <w:rPr>
          <w:rFonts w:ascii="Arial" w:hAnsi="Arial" w:cs="Arial"/>
          <w:color w:val="000000"/>
          <w:sz w:val="20"/>
          <w:szCs w:val="20"/>
        </w:rPr>
        <w:t>4. The enhanced HTM limit of 23 per cent shall be restored to 19.5 percent in a phased manner, beginning from the quarter ending June 30, 2023, i.e. the excess SLR securities acquired by banks during the period September 1, 2020 to March 31, 2023 shall be progressively reduced such that the total SLR securities held in the HTM category as a percentage of the NDTL do not exceed:</w:t>
      </w:r>
    </w:p>
    <w:p w:rsidR="00697BC8" w:rsidRPr="00470480" w:rsidRDefault="00697BC8" w:rsidP="00697BC8">
      <w:pPr>
        <w:pStyle w:val="NormalWeb"/>
        <w:numPr>
          <w:ilvl w:val="0"/>
          <w:numId w:val="3"/>
        </w:numPr>
        <w:ind w:left="0"/>
        <w:jc w:val="both"/>
        <w:rPr>
          <w:rFonts w:ascii="Arial" w:hAnsi="Arial" w:cs="Arial"/>
          <w:color w:val="000000"/>
          <w:sz w:val="20"/>
          <w:szCs w:val="20"/>
        </w:rPr>
      </w:pPr>
      <w:r w:rsidRPr="00470480">
        <w:rPr>
          <w:rFonts w:ascii="Arial" w:hAnsi="Arial" w:cs="Arial"/>
          <w:color w:val="000000"/>
          <w:sz w:val="20"/>
          <w:szCs w:val="20"/>
        </w:rPr>
        <w:t>22.00 per cent as on June 30, 2023</w:t>
      </w:r>
    </w:p>
    <w:p w:rsidR="00697BC8" w:rsidRPr="00470480" w:rsidRDefault="00697BC8" w:rsidP="00697BC8">
      <w:pPr>
        <w:pStyle w:val="NormalWeb"/>
        <w:numPr>
          <w:ilvl w:val="0"/>
          <w:numId w:val="3"/>
        </w:numPr>
        <w:ind w:left="0"/>
        <w:jc w:val="both"/>
        <w:rPr>
          <w:rFonts w:ascii="Arial" w:hAnsi="Arial" w:cs="Arial"/>
          <w:color w:val="000000"/>
          <w:sz w:val="20"/>
          <w:szCs w:val="20"/>
        </w:rPr>
      </w:pPr>
      <w:r w:rsidRPr="00470480">
        <w:rPr>
          <w:rFonts w:ascii="Arial" w:hAnsi="Arial" w:cs="Arial"/>
          <w:color w:val="000000"/>
          <w:sz w:val="20"/>
          <w:szCs w:val="20"/>
        </w:rPr>
        <w:t>21.00 per cent as on September 30, 2023</w:t>
      </w:r>
    </w:p>
    <w:p w:rsidR="00697BC8" w:rsidRPr="00470480" w:rsidRDefault="00697BC8" w:rsidP="00697BC8">
      <w:pPr>
        <w:pStyle w:val="NormalWeb"/>
        <w:numPr>
          <w:ilvl w:val="0"/>
          <w:numId w:val="3"/>
        </w:numPr>
        <w:ind w:left="0"/>
        <w:jc w:val="both"/>
        <w:rPr>
          <w:rFonts w:ascii="Arial" w:hAnsi="Arial" w:cs="Arial"/>
          <w:color w:val="000000"/>
          <w:sz w:val="20"/>
          <w:szCs w:val="20"/>
        </w:rPr>
      </w:pPr>
      <w:r w:rsidRPr="00470480">
        <w:rPr>
          <w:rFonts w:ascii="Arial" w:hAnsi="Arial" w:cs="Arial"/>
          <w:color w:val="000000"/>
          <w:sz w:val="20"/>
          <w:szCs w:val="20"/>
        </w:rPr>
        <w:t>20.00 per cent as on December 31, 2023</w:t>
      </w:r>
    </w:p>
    <w:p w:rsidR="00697BC8" w:rsidRPr="00470480" w:rsidRDefault="00697BC8" w:rsidP="00697BC8">
      <w:pPr>
        <w:pStyle w:val="NormalWeb"/>
        <w:numPr>
          <w:ilvl w:val="0"/>
          <w:numId w:val="3"/>
        </w:numPr>
        <w:ind w:left="0"/>
        <w:jc w:val="both"/>
        <w:rPr>
          <w:rFonts w:ascii="Arial" w:hAnsi="Arial" w:cs="Arial"/>
          <w:color w:val="000000"/>
          <w:sz w:val="20"/>
          <w:szCs w:val="20"/>
        </w:rPr>
      </w:pPr>
      <w:r w:rsidRPr="00470480">
        <w:rPr>
          <w:rFonts w:ascii="Arial" w:hAnsi="Arial" w:cs="Arial"/>
          <w:color w:val="000000"/>
          <w:sz w:val="20"/>
          <w:szCs w:val="20"/>
        </w:rPr>
        <w:t>19.50 per cent as on March 31, 2024</w:t>
      </w:r>
    </w:p>
    <w:p w:rsidR="00697BC8" w:rsidRPr="00470480" w:rsidRDefault="00697BC8" w:rsidP="00697BC8">
      <w:pPr>
        <w:pStyle w:val="NormalWeb"/>
        <w:jc w:val="both"/>
        <w:rPr>
          <w:rFonts w:ascii="Arial" w:hAnsi="Arial" w:cs="Arial"/>
          <w:color w:val="000000"/>
          <w:sz w:val="20"/>
          <w:szCs w:val="20"/>
        </w:rPr>
      </w:pPr>
      <w:r w:rsidRPr="00470480">
        <w:rPr>
          <w:rFonts w:ascii="Arial" w:hAnsi="Arial" w:cs="Arial"/>
          <w:color w:val="000000"/>
          <w:sz w:val="20"/>
          <w:szCs w:val="20"/>
        </w:rPr>
        <w:t>All other instructions shall remain unchanged.</w:t>
      </w:r>
    </w:p>
    <w:p w:rsidR="00697BC8" w:rsidRPr="00470480" w:rsidRDefault="00697BC8" w:rsidP="00697BC8">
      <w:pPr>
        <w:pStyle w:val="NormalWeb"/>
        <w:jc w:val="both"/>
        <w:rPr>
          <w:rFonts w:ascii="Arial" w:hAnsi="Arial" w:cs="Arial"/>
          <w:color w:val="000000"/>
          <w:sz w:val="20"/>
          <w:szCs w:val="20"/>
        </w:rPr>
      </w:pPr>
      <w:r w:rsidRPr="00470480">
        <w:rPr>
          <w:rFonts w:ascii="Arial" w:hAnsi="Arial" w:cs="Arial"/>
          <w:color w:val="000000"/>
          <w:sz w:val="20"/>
          <w:szCs w:val="20"/>
        </w:rPr>
        <w:t>5. The relevant sections of the Master Direction are being amended to reflect the aforementioned changes.</w:t>
      </w:r>
    </w:p>
    <w:p w:rsidR="00697BC8" w:rsidRPr="00470480" w:rsidRDefault="00697BC8" w:rsidP="00697BC8">
      <w:pPr>
        <w:pStyle w:val="head"/>
        <w:jc w:val="both"/>
        <w:rPr>
          <w:rFonts w:ascii="Arial" w:hAnsi="Arial" w:cs="Arial"/>
          <w:b/>
          <w:bCs/>
          <w:color w:val="000000"/>
          <w:sz w:val="20"/>
          <w:szCs w:val="20"/>
        </w:rPr>
      </w:pPr>
      <w:r w:rsidRPr="00470480">
        <w:rPr>
          <w:rFonts w:ascii="Arial" w:hAnsi="Arial" w:cs="Arial"/>
          <w:b/>
          <w:bCs/>
          <w:color w:val="000000"/>
          <w:sz w:val="20"/>
          <w:szCs w:val="20"/>
        </w:rPr>
        <w:t>Applicability</w:t>
      </w:r>
    </w:p>
    <w:p w:rsidR="00697BC8" w:rsidRPr="00470480" w:rsidRDefault="00697BC8" w:rsidP="00697BC8">
      <w:pPr>
        <w:pStyle w:val="NormalWeb"/>
        <w:jc w:val="both"/>
        <w:rPr>
          <w:rFonts w:ascii="Arial" w:hAnsi="Arial" w:cs="Arial"/>
          <w:color w:val="000000"/>
          <w:sz w:val="20"/>
          <w:szCs w:val="20"/>
        </w:rPr>
      </w:pPr>
      <w:r w:rsidRPr="00470480">
        <w:rPr>
          <w:rFonts w:ascii="Arial" w:hAnsi="Arial" w:cs="Arial"/>
          <w:color w:val="000000"/>
          <w:sz w:val="20"/>
          <w:szCs w:val="20"/>
        </w:rPr>
        <w:t>6. This circular is applicable to all Commercial Banks.</w:t>
      </w:r>
    </w:p>
    <w:p w:rsidR="00697BC8" w:rsidRPr="00470480" w:rsidRDefault="00697BC8" w:rsidP="00697BC8">
      <w:pPr>
        <w:pStyle w:val="NormalWeb"/>
        <w:jc w:val="both"/>
        <w:rPr>
          <w:rFonts w:ascii="Arial" w:hAnsi="Arial" w:cs="Arial"/>
          <w:color w:val="000000"/>
          <w:sz w:val="20"/>
          <w:szCs w:val="20"/>
        </w:rPr>
      </w:pPr>
      <w:r w:rsidRPr="00470480">
        <w:rPr>
          <w:rFonts w:ascii="Arial" w:hAnsi="Arial" w:cs="Arial"/>
          <w:color w:val="000000"/>
          <w:sz w:val="20"/>
          <w:szCs w:val="20"/>
        </w:rPr>
        <w:t>7. These instructions shall come into force with immediate effect.</w:t>
      </w:r>
    </w:p>
    <w:p w:rsidR="00697BC8" w:rsidRPr="00470480" w:rsidRDefault="00697BC8" w:rsidP="00697BC8">
      <w:pPr>
        <w:pStyle w:val="NormalWeb"/>
        <w:jc w:val="both"/>
        <w:rPr>
          <w:rFonts w:ascii="Arial" w:hAnsi="Arial" w:cs="Arial"/>
          <w:color w:val="000000"/>
          <w:sz w:val="20"/>
          <w:szCs w:val="20"/>
        </w:rPr>
      </w:pPr>
      <w:r w:rsidRPr="00470480">
        <w:rPr>
          <w:rFonts w:ascii="Arial" w:hAnsi="Arial" w:cs="Arial"/>
          <w:color w:val="000000"/>
          <w:sz w:val="20"/>
          <w:szCs w:val="20"/>
        </w:rPr>
        <w:t>Yours faithfully,</w:t>
      </w:r>
    </w:p>
    <w:p w:rsidR="00697BC8" w:rsidRPr="00470480" w:rsidRDefault="00697BC8" w:rsidP="00697BC8">
      <w:pPr>
        <w:pStyle w:val="NormalWeb"/>
        <w:rPr>
          <w:rFonts w:ascii="Arial" w:hAnsi="Arial" w:cs="Arial"/>
          <w:color w:val="000000"/>
          <w:sz w:val="20"/>
          <w:szCs w:val="20"/>
        </w:rPr>
      </w:pPr>
      <w:r w:rsidRPr="00470480">
        <w:rPr>
          <w:rFonts w:ascii="Arial" w:hAnsi="Arial" w:cs="Arial"/>
          <w:color w:val="000000"/>
          <w:sz w:val="20"/>
          <w:szCs w:val="20"/>
        </w:rPr>
        <w:t>(</w:t>
      </w:r>
      <w:proofErr w:type="spellStart"/>
      <w:r w:rsidRPr="00470480">
        <w:rPr>
          <w:rFonts w:ascii="Arial" w:hAnsi="Arial" w:cs="Arial"/>
          <w:color w:val="000000"/>
          <w:sz w:val="20"/>
          <w:szCs w:val="20"/>
        </w:rPr>
        <w:t>Usha</w:t>
      </w:r>
      <w:proofErr w:type="spellEnd"/>
      <w:r w:rsidRPr="00470480">
        <w:rPr>
          <w:rFonts w:ascii="Arial" w:hAnsi="Arial" w:cs="Arial"/>
          <w:color w:val="000000"/>
          <w:sz w:val="20"/>
          <w:szCs w:val="20"/>
        </w:rPr>
        <w:t xml:space="preserve"> </w:t>
      </w:r>
      <w:proofErr w:type="spellStart"/>
      <w:r w:rsidRPr="00470480">
        <w:rPr>
          <w:rFonts w:ascii="Arial" w:hAnsi="Arial" w:cs="Arial"/>
          <w:color w:val="000000"/>
          <w:sz w:val="20"/>
          <w:szCs w:val="20"/>
        </w:rPr>
        <w:t>Janakiraman</w:t>
      </w:r>
      <w:proofErr w:type="spellEnd"/>
      <w:r w:rsidRPr="00470480">
        <w:rPr>
          <w:rFonts w:ascii="Arial" w:hAnsi="Arial" w:cs="Arial"/>
          <w:color w:val="000000"/>
          <w:sz w:val="20"/>
          <w:szCs w:val="20"/>
        </w:rPr>
        <w:t>)</w:t>
      </w:r>
      <w:r w:rsidRPr="00470480">
        <w:rPr>
          <w:rFonts w:ascii="Arial" w:hAnsi="Arial" w:cs="Arial"/>
          <w:color w:val="000000"/>
          <w:sz w:val="20"/>
          <w:szCs w:val="20"/>
        </w:rPr>
        <w:br/>
        <w:t>Chief General Manager</w:t>
      </w:r>
    </w:p>
    <w:p w:rsidR="00697BC8" w:rsidRDefault="00697BC8" w:rsidP="00697BC8">
      <w:pPr>
        <w:pStyle w:val="NormalWeb"/>
        <w:rPr>
          <w:rFonts w:ascii="Arial" w:hAnsi="Arial" w:cs="Arial"/>
          <w:color w:val="000000"/>
          <w:sz w:val="20"/>
          <w:szCs w:val="20"/>
        </w:rPr>
      </w:pPr>
    </w:p>
    <w:p w:rsidR="00697BC8" w:rsidRPr="00470480" w:rsidRDefault="00697BC8" w:rsidP="00697BC8">
      <w:pPr>
        <w:pStyle w:val="NormalWeb"/>
        <w:rPr>
          <w:rFonts w:ascii="Arial" w:hAnsi="Arial" w:cs="Arial"/>
          <w:color w:val="000000"/>
          <w:sz w:val="20"/>
          <w:szCs w:val="20"/>
        </w:rPr>
      </w:pPr>
      <w:r w:rsidRPr="00470480">
        <w:rPr>
          <w:rFonts w:ascii="Arial" w:hAnsi="Arial" w:cs="Arial"/>
          <w:color w:val="000000"/>
          <w:sz w:val="20"/>
          <w:szCs w:val="20"/>
        </w:rPr>
        <w:t xml:space="preserve">Reference Link: </w:t>
      </w:r>
      <w:hyperlink r:id="rId20" w:history="1">
        <w:r w:rsidRPr="00470480">
          <w:rPr>
            <w:rStyle w:val="Hyperlink"/>
            <w:rFonts w:ascii="Arial" w:hAnsi="Arial" w:cs="Arial"/>
            <w:sz w:val="20"/>
            <w:szCs w:val="20"/>
          </w:rPr>
          <w:t>https://www.rbi.org.in/Scripts/NotificationUser.aspx?Id=12287&amp;Mode=0</w:t>
        </w:r>
      </w:hyperlink>
    </w:p>
    <w:p w:rsidR="00697BC8" w:rsidRPr="00470480" w:rsidRDefault="00697BC8" w:rsidP="00697BC8">
      <w:pPr>
        <w:pStyle w:val="NormalWeb"/>
        <w:rPr>
          <w:rFonts w:ascii="Arial" w:hAnsi="Arial" w:cs="Arial"/>
          <w:color w:val="000000"/>
          <w:sz w:val="20"/>
          <w:szCs w:val="20"/>
        </w:rPr>
      </w:pPr>
    </w:p>
    <w:p w:rsidR="00697BC8" w:rsidRPr="00470480" w:rsidRDefault="00697BC8" w:rsidP="00697BC8">
      <w:pPr>
        <w:pStyle w:val="NormalWeb"/>
        <w:jc w:val="both"/>
        <w:rPr>
          <w:rFonts w:ascii="Arial" w:hAnsi="Arial" w:cs="Arial"/>
          <w:b/>
          <w:bCs/>
          <w:color w:val="000000"/>
          <w:sz w:val="20"/>
          <w:szCs w:val="20"/>
        </w:rPr>
      </w:pPr>
      <w:r w:rsidRPr="00470480">
        <w:rPr>
          <w:rFonts w:ascii="Arial" w:hAnsi="Arial" w:cs="Arial"/>
          <w:b/>
          <w:bCs/>
          <w:color w:val="000000"/>
          <w:sz w:val="20"/>
          <w:szCs w:val="20"/>
        </w:rPr>
        <w:lastRenderedPageBreak/>
        <w:t>Master Circular on Investments by Primary (Urban) Co-operative Banks</w:t>
      </w:r>
    </w:p>
    <w:p w:rsidR="00697BC8" w:rsidRPr="00470480" w:rsidRDefault="00697BC8" w:rsidP="00697BC8">
      <w:pPr>
        <w:pStyle w:val="NormalWeb"/>
        <w:jc w:val="both"/>
        <w:rPr>
          <w:rFonts w:ascii="Arial" w:hAnsi="Arial" w:cs="Arial"/>
          <w:color w:val="000000"/>
          <w:sz w:val="20"/>
          <w:szCs w:val="20"/>
        </w:rPr>
      </w:pPr>
      <w:r w:rsidRPr="00470480">
        <w:rPr>
          <w:rFonts w:ascii="Arial" w:hAnsi="Arial" w:cs="Arial"/>
          <w:color w:val="000000"/>
          <w:sz w:val="20"/>
          <w:szCs w:val="20"/>
        </w:rPr>
        <w:t>RBI/2022-23/05</w:t>
      </w:r>
      <w:r w:rsidRPr="00470480">
        <w:rPr>
          <w:rFonts w:ascii="Arial" w:hAnsi="Arial" w:cs="Arial"/>
          <w:color w:val="000000"/>
          <w:sz w:val="20"/>
          <w:szCs w:val="20"/>
        </w:rPr>
        <w:br/>
        <w:t>DOR.MRG.REC.10/21.04.141/2022-23</w:t>
      </w:r>
    </w:p>
    <w:p w:rsidR="00697BC8" w:rsidRPr="00470480" w:rsidRDefault="00697BC8" w:rsidP="00697BC8">
      <w:pPr>
        <w:pStyle w:val="NormalWeb"/>
        <w:jc w:val="right"/>
        <w:rPr>
          <w:rFonts w:ascii="Arial" w:hAnsi="Arial" w:cs="Arial"/>
          <w:color w:val="000000"/>
          <w:sz w:val="20"/>
          <w:szCs w:val="20"/>
        </w:rPr>
      </w:pPr>
      <w:r w:rsidRPr="00470480">
        <w:rPr>
          <w:rFonts w:ascii="Arial" w:hAnsi="Arial" w:cs="Arial"/>
          <w:color w:val="000000"/>
          <w:sz w:val="20"/>
          <w:szCs w:val="20"/>
        </w:rPr>
        <w:t>April 01, 2022</w:t>
      </w:r>
    </w:p>
    <w:p w:rsidR="00697BC8" w:rsidRPr="00470480" w:rsidRDefault="00697BC8" w:rsidP="00697BC8">
      <w:pPr>
        <w:pStyle w:val="NormalWeb"/>
        <w:jc w:val="both"/>
        <w:rPr>
          <w:rFonts w:ascii="Arial" w:hAnsi="Arial" w:cs="Arial"/>
          <w:color w:val="000000"/>
          <w:sz w:val="20"/>
          <w:szCs w:val="20"/>
        </w:rPr>
      </w:pPr>
      <w:r w:rsidRPr="00470480">
        <w:rPr>
          <w:rFonts w:ascii="Arial" w:hAnsi="Arial" w:cs="Arial"/>
          <w:color w:val="000000"/>
          <w:sz w:val="20"/>
          <w:szCs w:val="20"/>
        </w:rPr>
        <w:t>All Primary (Urban) Co-operative Banks</w:t>
      </w:r>
    </w:p>
    <w:p w:rsidR="00697BC8" w:rsidRPr="00470480" w:rsidRDefault="00697BC8" w:rsidP="00697BC8">
      <w:pPr>
        <w:pStyle w:val="NormalWeb"/>
        <w:jc w:val="both"/>
        <w:rPr>
          <w:rFonts w:ascii="Arial" w:hAnsi="Arial" w:cs="Arial"/>
          <w:color w:val="000000"/>
          <w:sz w:val="20"/>
          <w:szCs w:val="20"/>
        </w:rPr>
      </w:pPr>
      <w:r w:rsidRPr="00470480">
        <w:rPr>
          <w:rFonts w:ascii="Arial" w:hAnsi="Arial" w:cs="Arial"/>
          <w:color w:val="000000"/>
          <w:sz w:val="20"/>
          <w:szCs w:val="20"/>
        </w:rPr>
        <w:t>Dear Sir / Madam,</w:t>
      </w:r>
    </w:p>
    <w:p w:rsidR="00697BC8" w:rsidRPr="00470480" w:rsidRDefault="00697BC8" w:rsidP="00697BC8">
      <w:pPr>
        <w:pStyle w:val="head"/>
        <w:jc w:val="both"/>
        <w:rPr>
          <w:rFonts w:ascii="Arial" w:hAnsi="Arial" w:cs="Arial"/>
          <w:b/>
          <w:bCs/>
          <w:color w:val="000000"/>
          <w:sz w:val="20"/>
          <w:szCs w:val="20"/>
        </w:rPr>
      </w:pPr>
      <w:r w:rsidRPr="00470480">
        <w:rPr>
          <w:rFonts w:ascii="Arial" w:hAnsi="Arial" w:cs="Arial"/>
          <w:b/>
          <w:bCs/>
          <w:color w:val="000000"/>
          <w:sz w:val="20"/>
          <w:szCs w:val="20"/>
        </w:rPr>
        <w:t>Master Circular on Investments by Primary (Urban) Co-operative Banks</w:t>
      </w:r>
    </w:p>
    <w:p w:rsidR="00697BC8" w:rsidRPr="00470480" w:rsidRDefault="00697BC8" w:rsidP="00697BC8">
      <w:pPr>
        <w:pStyle w:val="NormalWeb"/>
        <w:jc w:val="both"/>
        <w:rPr>
          <w:rFonts w:ascii="Arial" w:hAnsi="Arial" w:cs="Arial"/>
          <w:color w:val="000000"/>
          <w:sz w:val="20"/>
          <w:szCs w:val="20"/>
        </w:rPr>
      </w:pPr>
      <w:r w:rsidRPr="00470480">
        <w:rPr>
          <w:rFonts w:ascii="Arial" w:hAnsi="Arial" w:cs="Arial"/>
          <w:color w:val="000000"/>
          <w:sz w:val="20"/>
          <w:szCs w:val="20"/>
        </w:rPr>
        <w:t>Please refer to our </w:t>
      </w:r>
      <w:hyperlink r:id="rId21" w:tgtFrame="_blank" w:history="1">
        <w:r w:rsidRPr="00470480">
          <w:rPr>
            <w:rStyle w:val="Hyperlink"/>
            <w:rFonts w:ascii="Arial" w:hAnsi="Arial" w:cs="Arial"/>
            <w:sz w:val="20"/>
            <w:szCs w:val="20"/>
          </w:rPr>
          <w:t>Master Circular DOR.MRG.REC.50/21.04.141/2021-22 dated September 20, 2021</w:t>
        </w:r>
      </w:hyperlink>
      <w:r w:rsidRPr="00470480">
        <w:rPr>
          <w:rFonts w:ascii="Arial" w:hAnsi="Arial" w:cs="Arial"/>
          <w:color w:val="000000"/>
          <w:sz w:val="20"/>
          <w:szCs w:val="20"/>
        </w:rPr>
        <w:t> on the captioned subject. The enclosed </w:t>
      </w:r>
      <w:hyperlink r:id="rId22" w:anchor="MC1" w:history="1">
        <w:r w:rsidRPr="00470480">
          <w:rPr>
            <w:rStyle w:val="Hyperlink"/>
            <w:rFonts w:ascii="Arial" w:hAnsi="Arial" w:cs="Arial"/>
            <w:sz w:val="20"/>
            <w:szCs w:val="20"/>
          </w:rPr>
          <w:t>Master Circular</w:t>
        </w:r>
      </w:hyperlink>
      <w:r w:rsidRPr="00470480">
        <w:rPr>
          <w:rFonts w:ascii="Arial" w:hAnsi="Arial" w:cs="Arial"/>
          <w:color w:val="000000"/>
          <w:sz w:val="20"/>
          <w:szCs w:val="20"/>
        </w:rPr>
        <w:t> consolidates and updates all the instructions/guidelines on the subject issued as on date.</w:t>
      </w:r>
    </w:p>
    <w:p w:rsidR="00697BC8" w:rsidRPr="00470480" w:rsidRDefault="00697BC8" w:rsidP="00697BC8">
      <w:pPr>
        <w:pStyle w:val="NormalWeb"/>
        <w:jc w:val="both"/>
        <w:rPr>
          <w:rFonts w:ascii="Arial" w:hAnsi="Arial" w:cs="Arial"/>
          <w:color w:val="000000"/>
          <w:sz w:val="20"/>
          <w:szCs w:val="20"/>
        </w:rPr>
      </w:pPr>
      <w:r w:rsidRPr="00470480">
        <w:rPr>
          <w:rFonts w:ascii="Arial" w:hAnsi="Arial" w:cs="Arial"/>
          <w:color w:val="000000"/>
          <w:sz w:val="20"/>
          <w:szCs w:val="20"/>
        </w:rPr>
        <w:t>Yours faithfully,</w:t>
      </w:r>
    </w:p>
    <w:p w:rsidR="00697BC8" w:rsidRPr="00470480" w:rsidRDefault="00697BC8" w:rsidP="00697BC8">
      <w:pPr>
        <w:pStyle w:val="NormalWeb"/>
        <w:rPr>
          <w:rFonts w:ascii="Arial" w:hAnsi="Arial" w:cs="Arial"/>
          <w:color w:val="000000"/>
          <w:sz w:val="20"/>
          <w:szCs w:val="20"/>
        </w:rPr>
      </w:pPr>
      <w:r w:rsidRPr="00470480">
        <w:rPr>
          <w:rFonts w:ascii="Arial" w:hAnsi="Arial" w:cs="Arial"/>
          <w:color w:val="000000"/>
          <w:sz w:val="20"/>
          <w:szCs w:val="20"/>
        </w:rPr>
        <w:t>(</w:t>
      </w:r>
      <w:proofErr w:type="spellStart"/>
      <w:r w:rsidRPr="00470480">
        <w:rPr>
          <w:rFonts w:ascii="Arial" w:hAnsi="Arial" w:cs="Arial"/>
          <w:color w:val="000000"/>
          <w:sz w:val="20"/>
          <w:szCs w:val="20"/>
        </w:rPr>
        <w:t>Usha</w:t>
      </w:r>
      <w:proofErr w:type="spellEnd"/>
      <w:r w:rsidRPr="00470480">
        <w:rPr>
          <w:rFonts w:ascii="Arial" w:hAnsi="Arial" w:cs="Arial"/>
          <w:color w:val="000000"/>
          <w:sz w:val="20"/>
          <w:szCs w:val="20"/>
        </w:rPr>
        <w:t xml:space="preserve"> </w:t>
      </w:r>
      <w:proofErr w:type="spellStart"/>
      <w:r w:rsidRPr="00470480">
        <w:rPr>
          <w:rFonts w:ascii="Arial" w:hAnsi="Arial" w:cs="Arial"/>
          <w:color w:val="000000"/>
          <w:sz w:val="20"/>
          <w:szCs w:val="20"/>
        </w:rPr>
        <w:t>Janakiraman</w:t>
      </w:r>
      <w:proofErr w:type="spellEnd"/>
      <w:r w:rsidRPr="00470480">
        <w:rPr>
          <w:rFonts w:ascii="Arial" w:hAnsi="Arial" w:cs="Arial"/>
          <w:color w:val="000000"/>
          <w:sz w:val="20"/>
          <w:szCs w:val="20"/>
        </w:rPr>
        <w:t>)</w:t>
      </w:r>
      <w:r w:rsidRPr="00470480">
        <w:rPr>
          <w:rFonts w:ascii="Arial" w:hAnsi="Arial" w:cs="Arial"/>
          <w:color w:val="000000"/>
          <w:sz w:val="20"/>
          <w:szCs w:val="20"/>
        </w:rPr>
        <w:br/>
        <w:t>Chief General Manager</w:t>
      </w:r>
    </w:p>
    <w:p w:rsidR="00697BC8" w:rsidRDefault="00697BC8" w:rsidP="00697BC8">
      <w:pPr>
        <w:pStyle w:val="head"/>
        <w:spacing w:before="0" w:beforeAutospacing="0" w:after="0" w:afterAutospacing="0"/>
        <w:rPr>
          <w:rFonts w:ascii="Arial" w:hAnsi="Arial" w:cs="Arial"/>
          <w:bCs/>
          <w:color w:val="000000"/>
          <w:sz w:val="20"/>
          <w:szCs w:val="20"/>
        </w:rPr>
      </w:pPr>
    </w:p>
    <w:p w:rsidR="00697BC8" w:rsidRDefault="00697BC8" w:rsidP="00697BC8">
      <w:pPr>
        <w:pStyle w:val="head"/>
        <w:spacing w:before="0" w:beforeAutospacing="0" w:after="0" w:afterAutospacing="0"/>
        <w:rPr>
          <w:rFonts w:ascii="Arial" w:hAnsi="Arial" w:cs="Arial"/>
          <w:bCs/>
          <w:color w:val="000000"/>
          <w:sz w:val="20"/>
          <w:szCs w:val="20"/>
        </w:rPr>
      </w:pPr>
    </w:p>
    <w:p w:rsidR="00697BC8" w:rsidRPr="00454EA3" w:rsidRDefault="00697BC8" w:rsidP="00697BC8">
      <w:pPr>
        <w:pStyle w:val="head"/>
        <w:spacing w:before="0" w:beforeAutospacing="0" w:after="0" w:afterAutospacing="0"/>
        <w:rPr>
          <w:rFonts w:ascii="Arial" w:hAnsi="Arial" w:cs="Arial"/>
          <w:bCs/>
          <w:color w:val="000000"/>
          <w:sz w:val="20"/>
          <w:szCs w:val="20"/>
        </w:rPr>
      </w:pPr>
      <w:r w:rsidRPr="00454EA3">
        <w:rPr>
          <w:rFonts w:ascii="Arial" w:hAnsi="Arial" w:cs="Arial"/>
          <w:bCs/>
          <w:color w:val="000000"/>
          <w:sz w:val="20"/>
          <w:szCs w:val="20"/>
        </w:rPr>
        <w:t>For the detailed ‘MASTER CIRCULAR ON INVESTMENTS BY PRIMARY (URBAN) CO-OPERATIVE BANKS’ refer to the link below.</w:t>
      </w:r>
    </w:p>
    <w:p w:rsidR="00697BC8" w:rsidRPr="00470480" w:rsidRDefault="00697BC8" w:rsidP="00697BC8">
      <w:pPr>
        <w:pStyle w:val="NormalWeb"/>
        <w:spacing w:before="0" w:beforeAutospacing="0" w:after="0" w:afterAutospacing="0"/>
        <w:jc w:val="both"/>
        <w:rPr>
          <w:rFonts w:ascii="Arial" w:hAnsi="Arial" w:cs="Arial"/>
          <w:color w:val="000000"/>
          <w:sz w:val="20"/>
          <w:szCs w:val="20"/>
        </w:rPr>
      </w:pPr>
      <w:r w:rsidRPr="00470480">
        <w:rPr>
          <w:rFonts w:ascii="Arial" w:hAnsi="Arial" w:cs="Arial"/>
          <w:color w:val="000000"/>
          <w:sz w:val="20"/>
          <w:szCs w:val="20"/>
        </w:rPr>
        <w:t xml:space="preserve">Reference Link: </w:t>
      </w:r>
      <w:hyperlink r:id="rId23" w:history="1">
        <w:r w:rsidRPr="00470480">
          <w:rPr>
            <w:rStyle w:val="Hyperlink"/>
            <w:rFonts w:ascii="Arial" w:hAnsi="Arial" w:cs="Arial"/>
            <w:sz w:val="20"/>
            <w:szCs w:val="20"/>
          </w:rPr>
          <w:t>https://www.rbi.org.in/Scripts/NotificationUser.aspx?Id=12271&amp;Mode=0</w:t>
        </w:r>
      </w:hyperlink>
    </w:p>
    <w:p w:rsidR="00697BC8" w:rsidRPr="00470480" w:rsidRDefault="00697BC8" w:rsidP="00697BC8">
      <w:pPr>
        <w:pStyle w:val="NormalWeb"/>
        <w:jc w:val="both"/>
        <w:rPr>
          <w:rFonts w:ascii="Arial" w:hAnsi="Arial" w:cs="Arial"/>
          <w:color w:val="000000"/>
          <w:sz w:val="20"/>
          <w:szCs w:val="20"/>
        </w:rPr>
      </w:pPr>
    </w:p>
    <w:p w:rsidR="00697BC8" w:rsidRDefault="00697BC8">
      <w:pPr>
        <w:rPr>
          <w:rFonts w:ascii="Arial" w:hAnsi="Arial" w:cs="Arial"/>
          <w:sz w:val="20"/>
          <w:szCs w:val="20"/>
        </w:rPr>
      </w:pPr>
      <w:r>
        <w:rPr>
          <w:rFonts w:ascii="Arial" w:hAnsi="Arial" w:cs="Arial"/>
          <w:sz w:val="20"/>
          <w:szCs w:val="20"/>
        </w:rPr>
        <w:br w:type="page"/>
      </w:r>
    </w:p>
    <w:p w:rsidR="00697BC8" w:rsidRPr="00470480" w:rsidRDefault="00697BC8" w:rsidP="00697BC8">
      <w:pPr>
        <w:spacing w:after="0"/>
        <w:jc w:val="both"/>
        <w:rPr>
          <w:rFonts w:ascii="Arial" w:hAnsi="Arial" w:cs="Arial"/>
          <w:b/>
          <w:bCs/>
          <w:color w:val="000000"/>
          <w:sz w:val="20"/>
          <w:szCs w:val="20"/>
        </w:rPr>
      </w:pPr>
      <w:r w:rsidRPr="00470480">
        <w:rPr>
          <w:rFonts w:ascii="Arial" w:hAnsi="Arial" w:cs="Arial"/>
          <w:b/>
          <w:bCs/>
          <w:color w:val="000000"/>
          <w:sz w:val="20"/>
          <w:szCs w:val="20"/>
        </w:rPr>
        <w:lastRenderedPageBreak/>
        <w:t>Master Direction - Classification, Valuation and Operation of Investment Portfolio of Commercial Banks (Directions), 2021 – Amendment</w:t>
      </w:r>
    </w:p>
    <w:p w:rsidR="00697BC8" w:rsidRPr="00470480" w:rsidRDefault="00697BC8" w:rsidP="00697BC8">
      <w:pPr>
        <w:spacing w:after="0"/>
        <w:jc w:val="both"/>
        <w:rPr>
          <w:rFonts w:ascii="Arial" w:hAnsi="Arial" w:cs="Arial"/>
          <w:b/>
          <w:bCs/>
          <w:color w:val="000000"/>
          <w:sz w:val="20"/>
          <w:szCs w:val="20"/>
        </w:rPr>
      </w:pPr>
    </w:p>
    <w:p w:rsidR="00697BC8" w:rsidRPr="00470480" w:rsidRDefault="00697BC8" w:rsidP="00697BC8">
      <w:pPr>
        <w:pStyle w:val="NormalWeb"/>
        <w:jc w:val="both"/>
        <w:rPr>
          <w:rFonts w:ascii="Arial" w:hAnsi="Arial" w:cs="Arial"/>
          <w:color w:val="000000"/>
          <w:sz w:val="20"/>
          <w:szCs w:val="20"/>
        </w:rPr>
      </w:pPr>
      <w:r w:rsidRPr="00470480">
        <w:rPr>
          <w:rFonts w:ascii="Arial" w:hAnsi="Arial" w:cs="Arial"/>
          <w:color w:val="000000"/>
          <w:sz w:val="20"/>
          <w:szCs w:val="20"/>
        </w:rPr>
        <w:t>RBI/2021-22/191</w:t>
      </w:r>
      <w:r w:rsidRPr="00470480">
        <w:rPr>
          <w:rFonts w:ascii="Arial" w:hAnsi="Arial" w:cs="Arial"/>
          <w:color w:val="000000"/>
          <w:sz w:val="20"/>
          <w:szCs w:val="20"/>
        </w:rPr>
        <w:br/>
        <w:t>DOR.MRG.REC.98/21.04.141/2021-22</w:t>
      </w:r>
    </w:p>
    <w:p w:rsidR="00697BC8" w:rsidRPr="00470480" w:rsidRDefault="00697BC8" w:rsidP="00697BC8">
      <w:pPr>
        <w:pStyle w:val="NormalWeb"/>
        <w:jc w:val="right"/>
        <w:rPr>
          <w:rFonts w:ascii="Arial" w:hAnsi="Arial" w:cs="Arial"/>
          <w:color w:val="000000"/>
          <w:sz w:val="20"/>
          <w:szCs w:val="20"/>
        </w:rPr>
      </w:pPr>
      <w:r w:rsidRPr="00470480">
        <w:rPr>
          <w:rFonts w:ascii="Arial" w:hAnsi="Arial" w:cs="Arial"/>
          <w:color w:val="000000"/>
          <w:sz w:val="20"/>
          <w:szCs w:val="20"/>
        </w:rPr>
        <w:t>March 31, 2022</w:t>
      </w:r>
    </w:p>
    <w:p w:rsidR="00697BC8" w:rsidRPr="00470480" w:rsidRDefault="00697BC8" w:rsidP="00697BC8">
      <w:pPr>
        <w:pStyle w:val="NormalWeb"/>
        <w:jc w:val="both"/>
        <w:rPr>
          <w:rFonts w:ascii="Arial" w:hAnsi="Arial" w:cs="Arial"/>
          <w:color w:val="000000"/>
          <w:sz w:val="20"/>
          <w:szCs w:val="20"/>
        </w:rPr>
      </w:pPr>
      <w:r w:rsidRPr="00470480">
        <w:rPr>
          <w:rFonts w:ascii="Arial" w:hAnsi="Arial" w:cs="Arial"/>
          <w:color w:val="000000"/>
          <w:sz w:val="20"/>
          <w:szCs w:val="20"/>
        </w:rPr>
        <w:t>Dear Sir / Madam,</w:t>
      </w:r>
    </w:p>
    <w:p w:rsidR="00697BC8" w:rsidRPr="00470480" w:rsidRDefault="00697BC8" w:rsidP="00697BC8">
      <w:pPr>
        <w:pStyle w:val="head"/>
        <w:jc w:val="both"/>
        <w:rPr>
          <w:rFonts w:ascii="Arial" w:hAnsi="Arial" w:cs="Arial"/>
          <w:b/>
          <w:bCs/>
          <w:color w:val="000000"/>
          <w:sz w:val="20"/>
          <w:szCs w:val="20"/>
        </w:rPr>
      </w:pPr>
      <w:r w:rsidRPr="00470480">
        <w:rPr>
          <w:rFonts w:ascii="Arial" w:hAnsi="Arial" w:cs="Arial"/>
          <w:b/>
          <w:bCs/>
          <w:color w:val="000000"/>
          <w:sz w:val="20"/>
          <w:szCs w:val="20"/>
        </w:rPr>
        <w:t>Master Direction - Classification, Valuation and Operation of Investment Portfolio of Commercial Banks (Directions), 2021 - Amendment</w:t>
      </w:r>
    </w:p>
    <w:p w:rsidR="00697BC8" w:rsidRPr="00470480" w:rsidRDefault="00697BC8" w:rsidP="00697BC8">
      <w:pPr>
        <w:pStyle w:val="NormalWeb"/>
        <w:jc w:val="both"/>
        <w:rPr>
          <w:rFonts w:ascii="Arial" w:hAnsi="Arial" w:cs="Arial"/>
          <w:color w:val="000000"/>
          <w:sz w:val="20"/>
          <w:szCs w:val="20"/>
        </w:rPr>
      </w:pPr>
      <w:r w:rsidRPr="00470480">
        <w:rPr>
          <w:rFonts w:ascii="Arial" w:hAnsi="Arial" w:cs="Arial"/>
          <w:color w:val="000000"/>
          <w:sz w:val="20"/>
          <w:szCs w:val="20"/>
        </w:rPr>
        <w:t>Please refer to the </w:t>
      </w:r>
      <w:hyperlink r:id="rId24" w:tgtFrame="_blank" w:history="1">
        <w:r w:rsidRPr="00470480">
          <w:rPr>
            <w:rStyle w:val="Hyperlink"/>
            <w:rFonts w:ascii="Arial" w:hAnsi="Arial" w:cs="Arial"/>
            <w:sz w:val="20"/>
            <w:szCs w:val="20"/>
          </w:rPr>
          <w:t>Master Direction DOR.MRG.42/21.04.141/2021-22 dated August 25, 2021</w:t>
        </w:r>
      </w:hyperlink>
      <w:r w:rsidRPr="00470480">
        <w:rPr>
          <w:rFonts w:ascii="Arial" w:hAnsi="Arial" w:cs="Arial"/>
          <w:color w:val="000000"/>
          <w:sz w:val="20"/>
          <w:szCs w:val="20"/>
        </w:rPr>
        <w:t> – ‘Classification, Valuation and Operation of Investment Portfolio of Commercial Banks (Directions), 2021’ (hereinafter referred as ‘Master Direction’).</w:t>
      </w:r>
    </w:p>
    <w:p w:rsidR="00697BC8" w:rsidRPr="00470480" w:rsidRDefault="00697BC8" w:rsidP="00697BC8">
      <w:pPr>
        <w:pStyle w:val="NormalWeb"/>
        <w:jc w:val="both"/>
        <w:rPr>
          <w:rFonts w:ascii="Arial" w:hAnsi="Arial" w:cs="Arial"/>
          <w:color w:val="000000"/>
          <w:sz w:val="20"/>
          <w:szCs w:val="20"/>
        </w:rPr>
      </w:pPr>
      <w:r w:rsidRPr="00470480">
        <w:rPr>
          <w:rFonts w:ascii="Arial" w:hAnsi="Arial" w:cs="Arial"/>
          <w:color w:val="000000"/>
          <w:sz w:val="20"/>
          <w:szCs w:val="20"/>
        </w:rPr>
        <w:t>2. In terms of Section 9 of the Master Direction ibid, investments classified under HTM shall be carried at acquisition cost, with the premium over the face value being amortised over the tenor of the instrument. It is expected that the acquisition of such instruments shall be at the fair value of the security at the time of its acquisition. This instruction also applies to re-capitalisation bonds received from the Government of India towards banks’ recapitalisation requirement and held in the investment portfolio (cf. Section 6 of the Master Direction ibid).</w:t>
      </w:r>
    </w:p>
    <w:p w:rsidR="00697BC8" w:rsidRPr="00470480" w:rsidRDefault="00697BC8" w:rsidP="00697BC8">
      <w:pPr>
        <w:pStyle w:val="NormalWeb"/>
        <w:jc w:val="both"/>
        <w:rPr>
          <w:rFonts w:ascii="Arial" w:hAnsi="Arial" w:cs="Arial"/>
          <w:color w:val="000000"/>
          <w:sz w:val="20"/>
          <w:szCs w:val="20"/>
        </w:rPr>
      </w:pPr>
      <w:r w:rsidRPr="00470480">
        <w:rPr>
          <w:rFonts w:ascii="Arial" w:hAnsi="Arial" w:cs="Arial"/>
          <w:color w:val="000000"/>
          <w:sz w:val="20"/>
          <w:szCs w:val="20"/>
        </w:rPr>
        <w:t xml:space="preserve">3. It is clarified that investments in special securities received from the Government of India towards bank’s recapitalisation requirement from FY 2021-22 onwards shall be recognised at fair value / market value on initial recognition in HTM. The fair value / market value of these securities shall be arrived on the basis of the prices / YTM of similar tenor Central Government securities put out by Financial Benchmarks India </w:t>
      </w:r>
      <w:proofErr w:type="spellStart"/>
      <w:r w:rsidRPr="00470480">
        <w:rPr>
          <w:rFonts w:ascii="Arial" w:hAnsi="Arial" w:cs="Arial"/>
          <w:color w:val="000000"/>
          <w:sz w:val="20"/>
          <w:szCs w:val="20"/>
        </w:rPr>
        <w:t>Pvt.</w:t>
      </w:r>
      <w:proofErr w:type="spellEnd"/>
      <w:r w:rsidRPr="00470480">
        <w:rPr>
          <w:rFonts w:ascii="Arial" w:hAnsi="Arial" w:cs="Arial"/>
          <w:color w:val="000000"/>
          <w:sz w:val="20"/>
          <w:szCs w:val="20"/>
        </w:rPr>
        <w:t xml:space="preserve"> Ltd. (FBIL). Any difference between the acquisition cost and fair value arrived as above shall be immediately recognized in the Profit and Loss Account.</w:t>
      </w:r>
    </w:p>
    <w:p w:rsidR="00697BC8" w:rsidRPr="00470480" w:rsidRDefault="00697BC8" w:rsidP="00697BC8">
      <w:pPr>
        <w:pStyle w:val="head"/>
        <w:jc w:val="both"/>
        <w:rPr>
          <w:rFonts w:ascii="Arial" w:hAnsi="Arial" w:cs="Arial"/>
          <w:b/>
          <w:bCs/>
          <w:color w:val="000000"/>
          <w:sz w:val="20"/>
          <w:szCs w:val="20"/>
        </w:rPr>
      </w:pPr>
      <w:r w:rsidRPr="00470480">
        <w:rPr>
          <w:rFonts w:ascii="Arial" w:hAnsi="Arial" w:cs="Arial"/>
          <w:b/>
          <w:bCs/>
          <w:color w:val="000000"/>
          <w:sz w:val="20"/>
          <w:szCs w:val="20"/>
        </w:rPr>
        <w:t>Applicability</w:t>
      </w:r>
    </w:p>
    <w:p w:rsidR="00697BC8" w:rsidRPr="00470480" w:rsidRDefault="00697BC8" w:rsidP="00697BC8">
      <w:pPr>
        <w:pStyle w:val="NormalWeb"/>
        <w:jc w:val="both"/>
        <w:rPr>
          <w:rFonts w:ascii="Arial" w:hAnsi="Arial" w:cs="Arial"/>
          <w:color w:val="000000"/>
          <w:sz w:val="20"/>
          <w:szCs w:val="20"/>
        </w:rPr>
      </w:pPr>
      <w:r w:rsidRPr="00470480">
        <w:rPr>
          <w:rFonts w:ascii="Arial" w:hAnsi="Arial" w:cs="Arial"/>
          <w:color w:val="000000"/>
          <w:sz w:val="20"/>
          <w:szCs w:val="20"/>
        </w:rPr>
        <w:t>4. This circular is applicable to all Commercial Banks (excluding Regional Rural Banks).</w:t>
      </w:r>
    </w:p>
    <w:p w:rsidR="00697BC8" w:rsidRPr="00470480" w:rsidRDefault="00697BC8" w:rsidP="00697BC8">
      <w:pPr>
        <w:pStyle w:val="NormalWeb"/>
        <w:jc w:val="both"/>
        <w:rPr>
          <w:rFonts w:ascii="Arial" w:hAnsi="Arial" w:cs="Arial"/>
          <w:color w:val="000000"/>
          <w:sz w:val="20"/>
          <w:szCs w:val="20"/>
        </w:rPr>
      </w:pPr>
      <w:r w:rsidRPr="00470480">
        <w:rPr>
          <w:rFonts w:ascii="Arial" w:hAnsi="Arial" w:cs="Arial"/>
          <w:color w:val="000000"/>
          <w:sz w:val="20"/>
          <w:szCs w:val="20"/>
        </w:rPr>
        <w:t>5. The relevant sections of the Master Direction are being amended to reflect the aforementioned changes. These instructions come into force with immediate effect.</w:t>
      </w:r>
    </w:p>
    <w:p w:rsidR="00697BC8" w:rsidRPr="00470480" w:rsidRDefault="00697BC8" w:rsidP="00697BC8">
      <w:pPr>
        <w:pStyle w:val="NormalWeb"/>
        <w:jc w:val="both"/>
        <w:rPr>
          <w:rFonts w:ascii="Arial" w:hAnsi="Arial" w:cs="Arial"/>
          <w:color w:val="000000"/>
          <w:sz w:val="20"/>
          <w:szCs w:val="20"/>
        </w:rPr>
      </w:pPr>
      <w:r w:rsidRPr="00470480">
        <w:rPr>
          <w:rFonts w:ascii="Arial" w:hAnsi="Arial" w:cs="Arial"/>
          <w:color w:val="000000"/>
          <w:sz w:val="20"/>
          <w:szCs w:val="20"/>
        </w:rPr>
        <w:t>Yours faithfully,</w:t>
      </w:r>
    </w:p>
    <w:p w:rsidR="00697BC8" w:rsidRPr="00470480" w:rsidRDefault="00697BC8" w:rsidP="00697BC8">
      <w:pPr>
        <w:pStyle w:val="NormalWeb"/>
        <w:rPr>
          <w:rFonts w:ascii="Arial" w:hAnsi="Arial" w:cs="Arial"/>
          <w:color w:val="000000"/>
          <w:sz w:val="20"/>
          <w:szCs w:val="20"/>
        </w:rPr>
      </w:pPr>
      <w:r w:rsidRPr="00470480">
        <w:rPr>
          <w:rFonts w:ascii="Arial" w:hAnsi="Arial" w:cs="Arial"/>
          <w:color w:val="000000"/>
          <w:sz w:val="20"/>
          <w:szCs w:val="20"/>
        </w:rPr>
        <w:t>(</w:t>
      </w:r>
      <w:proofErr w:type="spellStart"/>
      <w:r w:rsidRPr="00470480">
        <w:rPr>
          <w:rFonts w:ascii="Arial" w:hAnsi="Arial" w:cs="Arial"/>
          <w:color w:val="000000"/>
          <w:sz w:val="20"/>
          <w:szCs w:val="20"/>
        </w:rPr>
        <w:t>Usha</w:t>
      </w:r>
      <w:proofErr w:type="spellEnd"/>
      <w:r w:rsidRPr="00470480">
        <w:rPr>
          <w:rFonts w:ascii="Arial" w:hAnsi="Arial" w:cs="Arial"/>
          <w:color w:val="000000"/>
          <w:sz w:val="20"/>
          <w:szCs w:val="20"/>
        </w:rPr>
        <w:t xml:space="preserve"> </w:t>
      </w:r>
      <w:proofErr w:type="spellStart"/>
      <w:r w:rsidRPr="00470480">
        <w:rPr>
          <w:rFonts w:ascii="Arial" w:hAnsi="Arial" w:cs="Arial"/>
          <w:color w:val="000000"/>
          <w:sz w:val="20"/>
          <w:szCs w:val="20"/>
        </w:rPr>
        <w:t>Janakiraman</w:t>
      </w:r>
      <w:proofErr w:type="spellEnd"/>
      <w:r w:rsidRPr="00470480">
        <w:rPr>
          <w:rFonts w:ascii="Arial" w:hAnsi="Arial" w:cs="Arial"/>
          <w:color w:val="000000"/>
          <w:sz w:val="20"/>
          <w:szCs w:val="20"/>
        </w:rPr>
        <w:t>)</w:t>
      </w:r>
      <w:r w:rsidRPr="00470480">
        <w:rPr>
          <w:rFonts w:ascii="Arial" w:hAnsi="Arial" w:cs="Arial"/>
          <w:color w:val="000000"/>
          <w:sz w:val="20"/>
          <w:szCs w:val="20"/>
        </w:rPr>
        <w:br/>
        <w:t>Chief General Manager</w:t>
      </w:r>
    </w:p>
    <w:p w:rsidR="00697BC8" w:rsidRDefault="00697BC8" w:rsidP="00697BC8">
      <w:pPr>
        <w:spacing w:after="0"/>
        <w:jc w:val="both"/>
        <w:rPr>
          <w:rFonts w:ascii="Arial" w:hAnsi="Arial" w:cs="Arial"/>
          <w:sz w:val="20"/>
          <w:szCs w:val="20"/>
        </w:rPr>
      </w:pPr>
    </w:p>
    <w:p w:rsidR="00697BC8" w:rsidRPr="00470480" w:rsidRDefault="00697BC8" w:rsidP="00697BC8">
      <w:pPr>
        <w:spacing w:after="0"/>
        <w:jc w:val="both"/>
        <w:rPr>
          <w:rFonts w:ascii="Arial" w:hAnsi="Arial" w:cs="Arial"/>
          <w:sz w:val="20"/>
          <w:szCs w:val="20"/>
        </w:rPr>
      </w:pPr>
      <w:r w:rsidRPr="00470480">
        <w:rPr>
          <w:rFonts w:ascii="Arial" w:hAnsi="Arial" w:cs="Arial"/>
          <w:sz w:val="20"/>
          <w:szCs w:val="20"/>
        </w:rPr>
        <w:t xml:space="preserve">Reference Link: </w:t>
      </w:r>
      <w:hyperlink r:id="rId25" w:history="1">
        <w:r w:rsidRPr="00470480">
          <w:rPr>
            <w:rStyle w:val="Hyperlink"/>
            <w:rFonts w:ascii="Arial" w:hAnsi="Arial" w:cs="Arial"/>
            <w:sz w:val="20"/>
            <w:szCs w:val="20"/>
          </w:rPr>
          <w:t>https://www.rbi.org.in/Scripts/NotificationUser.aspx?Id=12264&amp;Mode=0</w:t>
        </w:r>
      </w:hyperlink>
    </w:p>
    <w:p w:rsidR="00697BC8" w:rsidRPr="00470480" w:rsidRDefault="00697BC8" w:rsidP="00697BC8">
      <w:pPr>
        <w:spacing w:after="0"/>
        <w:jc w:val="both"/>
        <w:rPr>
          <w:rFonts w:ascii="Arial" w:hAnsi="Arial" w:cs="Arial"/>
          <w:sz w:val="20"/>
          <w:szCs w:val="20"/>
        </w:rPr>
      </w:pPr>
    </w:p>
    <w:p w:rsidR="00697BC8" w:rsidRPr="00470480" w:rsidRDefault="00697BC8" w:rsidP="00697BC8">
      <w:pPr>
        <w:spacing w:after="0"/>
        <w:jc w:val="both"/>
        <w:rPr>
          <w:rFonts w:ascii="Arial" w:hAnsi="Arial" w:cs="Arial"/>
          <w:sz w:val="20"/>
          <w:szCs w:val="20"/>
        </w:rPr>
      </w:pPr>
    </w:p>
    <w:p w:rsidR="00697BC8" w:rsidRPr="00470480" w:rsidRDefault="00697BC8" w:rsidP="00697BC8">
      <w:pPr>
        <w:spacing w:after="0"/>
        <w:jc w:val="both"/>
        <w:rPr>
          <w:rFonts w:ascii="Arial" w:hAnsi="Arial" w:cs="Arial"/>
          <w:sz w:val="20"/>
          <w:szCs w:val="20"/>
        </w:rPr>
      </w:pPr>
    </w:p>
    <w:p w:rsidR="00697BC8" w:rsidRPr="00470480" w:rsidRDefault="00697BC8" w:rsidP="00697BC8">
      <w:pPr>
        <w:spacing w:after="0"/>
        <w:jc w:val="both"/>
        <w:rPr>
          <w:rFonts w:ascii="Arial" w:hAnsi="Arial" w:cs="Arial"/>
          <w:sz w:val="20"/>
          <w:szCs w:val="20"/>
        </w:rPr>
      </w:pPr>
    </w:p>
    <w:p w:rsidR="00697BC8" w:rsidRPr="00470480" w:rsidRDefault="00697BC8" w:rsidP="00697BC8">
      <w:pPr>
        <w:spacing w:after="0"/>
        <w:jc w:val="both"/>
        <w:rPr>
          <w:rFonts w:ascii="Arial" w:hAnsi="Arial" w:cs="Arial"/>
          <w:sz w:val="20"/>
          <w:szCs w:val="20"/>
        </w:rPr>
      </w:pPr>
    </w:p>
    <w:p w:rsidR="00697BC8" w:rsidRDefault="00697BC8">
      <w:pPr>
        <w:rPr>
          <w:rFonts w:ascii="Arial" w:hAnsi="Arial" w:cs="Arial"/>
          <w:sz w:val="20"/>
          <w:szCs w:val="20"/>
        </w:rPr>
      </w:pPr>
      <w:r>
        <w:rPr>
          <w:rFonts w:ascii="Arial" w:hAnsi="Arial" w:cs="Arial"/>
          <w:sz w:val="20"/>
          <w:szCs w:val="20"/>
        </w:rPr>
        <w:br w:type="page"/>
      </w:r>
    </w:p>
    <w:p w:rsidR="00697BC8" w:rsidRDefault="00697BC8" w:rsidP="00697BC8">
      <w:pPr>
        <w:spacing w:after="0"/>
        <w:jc w:val="both"/>
        <w:rPr>
          <w:rFonts w:ascii="Arial" w:hAnsi="Arial" w:cs="Arial"/>
          <w:b/>
          <w:bCs/>
          <w:color w:val="000000"/>
          <w:sz w:val="20"/>
          <w:szCs w:val="20"/>
        </w:rPr>
      </w:pPr>
    </w:p>
    <w:p w:rsidR="00697BC8" w:rsidRPr="00470480" w:rsidRDefault="00697BC8" w:rsidP="00697BC8">
      <w:pPr>
        <w:spacing w:after="0"/>
        <w:jc w:val="both"/>
        <w:rPr>
          <w:rFonts w:ascii="Arial" w:hAnsi="Arial" w:cs="Arial"/>
          <w:b/>
          <w:bCs/>
          <w:color w:val="000000"/>
          <w:sz w:val="20"/>
          <w:szCs w:val="20"/>
        </w:rPr>
      </w:pPr>
      <w:r w:rsidRPr="00470480">
        <w:rPr>
          <w:rFonts w:ascii="Arial" w:hAnsi="Arial" w:cs="Arial"/>
          <w:b/>
          <w:bCs/>
          <w:color w:val="000000"/>
          <w:sz w:val="20"/>
          <w:szCs w:val="20"/>
        </w:rPr>
        <w:t>Bilateral Netting of Qualified Financial Contracts - Amendments to Prudential Guidelines</w:t>
      </w:r>
    </w:p>
    <w:p w:rsidR="00697BC8" w:rsidRPr="00470480" w:rsidRDefault="00697BC8" w:rsidP="00697BC8">
      <w:pPr>
        <w:spacing w:after="0"/>
        <w:jc w:val="both"/>
        <w:rPr>
          <w:rFonts w:ascii="Arial" w:hAnsi="Arial" w:cs="Arial"/>
          <w:b/>
          <w:bCs/>
          <w:color w:val="000000"/>
          <w:sz w:val="20"/>
          <w:szCs w:val="20"/>
        </w:rPr>
      </w:pPr>
    </w:p>
    <w:p w:rsidR="00697BC8" w:rsidRPr="00470480" w:rsidRDefault="00697BC8" w:rsidP="00697BC8">
      <w:pPr>
        <w:pStyle w:val="NormalWeb"/>
        <w:jc w:val="both"/>
        <w:rPr>
          <w:rFonts w:ascii="Arial" w:hAnsi="Arial" w:cs="Arial"/>
          <w:color w:val="000000"/>
          <w:sz w:val="20"/>
          <w:szCs w:val="20"/>
        </w:rPr>
      </w:pPr>
      <w:r w:rsidRPr="00470480">
        <w:rPr>
          <w:rFonts w:ascii="Arial" w:hAnsi="Arial" w:cs="Arial"/>
          <w:color w:val="000000"/>
          <w:sz w:val="20"/>
          <w:szCs w:val="20"/>
        </w:rPr>
        <w:t>RBI/2021-22/189</w:t>
      </w:r>
      <w:r w:rsidRPr="00470480">
        <w:rPr>
          <w:rFonts w:ascii="Arial" w:hAnsi="Arial" w:cs="Arial"/>
          <w:color w:val="000000"/>
          <w:sz w:val="20"/>
          <w:szCs w:val="20"/>
        </w:rPr>
        <w:br/>
        <w:t>DOR.CAP.REC.No.97/21.06.201/2021-22</w:t>
      </w:r>
    </w:p>
    <w:p w:rsidR="00697BC8" w:rsidRPr="00470480" w:rsidRDefault="00697BC8" w:rsidP="00697BC8">
      <w:pPr>
        <w:pStyle w:val="NormalWeb"/>
        <w:jc w:val="right"/>
        <w:rPr>
          <w:rFonts w:ascii="Arial" w:hAnsi="Arial" w:cs="Arial"/>
          <w:color w:val="000000"/>
          <w:sz w:val="20"/>
          <w:szCs w:val="20"/>
        </w:rPr>
      </w:pPr>
      <w:r w:rsidRPr="00470480">
        <w:rPr>
          <w:rFonts w:ascii="Arial" w:hAnsi="Arial" w:cs="Arial"/>
          <w:color w:val="000000"/>
          <w:sz w:val="20"/>
          <w:szCs w:val="20"/>
        </w:rPr>
        <w:t>March 31, 2022</w:t>
      </w:r>
    </w:p>
    <w:p w:rsidR="00697BC8" w:rsidRPr="00470480" w:rsidRDefault="00697BC8" w:rsidP="00697BC8">
      <w:pPr>
        <w:pStyle w:val="NormalWeb"/>
        <w:jc w:val="both"/>
        <w:rPr>
          <w:rFonts w:ascii="Arial" w:hAnsi="Arial" w:cs="Arial"/>
          <w:color w:val="000000"/>
          <w:sz w:val="20"/>
          <w:szCs w:val="20"/>
        </w:rPr>
      </w:pPr>
      <w:r w:rsidRPr="00470480">
        <w:rPr>
          <w:rFonts w:ascii="Arial" w:hAnsi="Arial" w:cs="Arial"/>
          <w:color w:val="000000"/>
          <w:sz w:val="20"/>
          <w:szCs w:val="20"/>
        </w:rPr>
        <w:t>Dear Sir/ Madam,</w:t>
      </w:r>
    </w:p>
    <w:p w:rsidR="00697BC8" w:rsidRPr="00470480" w:rsidRDefault="00697BC8" w:rsidP="00697BC8">
      <w:pPr>
        <w:pStyle w:val="head"/>
        <w:jc w:val="both"/>
        <w:rPr>
          <w:rFonts w:ascii="Arial" w:hAnsi="Arial" w:cs="Arial"/>
          <w:b/>
          <w:bCs/>
          <w:color w:val="000000"/>
          <w:sz w:val="20"/>
          <w:szCs w:val="20"/>
        </w:rPr>
      </w:pPr>
      <w:r w:rsidRPr="00470480">
        <w:rPr>
          <w:rFonts w:ascii="Arial" w:hAnsi="Arial" w:cs="Arial"/>
          <w:b/>
          <w:bCs/>
          <w:color w:val="000000"/>
          <w:sz w:val="20"/>
          <w:szCs w:val="20"/>
        </w:rPr>
        <w:t>Bilateral Netting of Qualified Financial Contracts - Amendments to Prudential Guidelines</w:t>
      </w:r>
    </w:p>
    <w:p w:rsidR="00697BC8" w:rsidRPr="00470480" w:rsidRDefault="00697BC8" w:rsidP="00697BC8">
      <w:pPr>
        <w:pStyle w:val="NormalWeb"/>
        <w:jc w:val="both"/>
        <w:rPr>
          <w:rFonts w:ascii="Arial" w:hAnsi="Arial" w:cs="Arial"/>
          <w:color w:val="000000"/>
          <w:sz w:val="20"/>
          <w:szCs w:val="20"/>
        </w:rPr>
      </w:pPr>
      <w:r w:rsidRPr="00470480">
        <w:rPr>
          <w:rFonts w:ascii="Arial" w:hAnsi="Arial" w:cs="Arial"/>
          <w:color w:val="000000"/>
          <w:sz w:val="20"/>
          <w:szCs w:val="20"/>
        </w:rPr>
        <w:t>The Bilateral Netting of Qualified Financial Contracts Act, 2020 (hereafter referred to as “the Act”), has been notified by the Government of India vide Gazette Notification No. S.O. 3463(E) dated October 1, 2020. The Act provides a legal framework for enforceability of bilateral netting of qualified financial contracts (QFC).</w:t>
      </w:r>
    </w:p>
    <w:p w:rsidR="00697BC8" w:rsidRPr="00470480" w:rsidRDefault="00697BC8" w:rsidP="00697BC8">
      <w:pPr>
        <w:pStyle w:val="NormalWeb"/>
        <w:jc w:val="both"/>
        <w:rPr>
          <w:rFonts w:ascii="Arial" w:hAnsi="Arial" w:cs="Arial"/>
          <w:color w:val="000000"/>
          <w:sz w:val="20"/>
          <w:szCs w:val="20"/>
        </w:rPr>
      </w:pPr>
      <w:r w:rsidRPr="00470480">
        <w:rPr>
          <w:rFonts w:ascii="Arial" w:hAnsi="Arial" w:cs="Arial"/>
          <w:color w:val="000000"/>
          <w:sz w:val="20"/>
          <w:szCs w:val="20"/>
        </w:rPr>
        <w:t>2. In exercise of the powers conferred by section 4(a) of the Act, the Reserve Bank, vide Notification no. FMRD.DIRD.2/14.03.043/2020-21 dated March 9, 2021, has since notified (a) “derivatives”; and (b) “repo” and “reverse repo” transactions as defined under Section 45(U) of Chapter III-D of the Reserve Bank of India Act, 1934 as a QFC.</w:t>
      </w:r>
    </w:p>
    <w:p w:rsidR="00697BC8" w:rsidRDefault="00697BC8" w:rsidP="00697BC8">
      <w:pPr>
        <w:spacing w:after="0"/>
        <w:jc w:val="both"/>
        <w:rPr>
          <w:rFonts w:ascii="Arial" w:hAnsi="Arial" w:cs="Arial"/>
          <w:sz w:val="20"/>
          <w:szCs w:val="20"/>
        </w:rPr>
      </w:pPr>
    </w:p>
    <w:p w:rsidR="00697BC8" w:rsidRDefault="00697BC8" w:rsidP="00697BC8">
      <w:pPr>
        <w:spacing w:after="0"/>
        <w:jc w:val="both"/>
        <w:rPr>
          <w:rFonts w:ascii="Arial" w:hAnsi="Arial" w:cs="Arial"/>
          <w:sz w:val="20"/>
          <w:szCs w:val="20"/>
        </w:rPr>
      </w:pPr>
      <w:r>
        <w:rPr>
          <w:rFonts w:ascii="Arial" w:hAnsi="Arial" w:cs="Arial"/>
          <w:sz w:val="20"/>
          <w:szCs w:val="20"/>
        </w:rPr>
        <w:t>For more details, the reference link is provided below.</w:t>
      </w:r>
    </w:p>
    <w:p w:rsidR="00697BC8" w:rsidRPr="00470480" w:rsidRDefault="00697BC8" w:rsidP="00697BC8">
      <w:pPr>
        <w:spacing w:after="0"/>
        <w:jc w:val="both"/>
        <w:rPr>
          <w:rFonts w:ascii="Arial" w:hAnsi="Arial" w:cs="Arial"/>
          <w:sz w:val="20"/>
          <w:szCs w:val="20"/>
        </w:rPr>
      </w:pPr>
      <w:r w:rsidRPr="00470480">
        <w:rPr>
          <w:rFonts w:ascii="Arial" w:hAnsi="Arial" w:cs="Arial"/>
          <w:sz w:val="20"/>
          <w:szCs w:val="20"/>
        </w:rPr>
        <w:t xml:space="preserve">Reference Link: </w:t>
      </w:r>
      <w:hyperlink r:id="rId26" w:history="1">
        <w:r w:rsidRPr="00470480">
          <w:rPr>
            <w:rStyle w:val="Hyperlink"/>
            <w:rFonts w:ascii="Arial" w:hAnsi="Arial" w:cs="Arial"/>
            <w:sz w:val="20"/>
            <w:szCs w:val="20"/>
          </w:rPr>
          <w:t>https://www.rbi.org.in/Scripts/NotificationUser.aspx?Id=12262&amp;Mode=0</w:t>
        </w:r>
      </w:hyperlink>
    </w:p>
    <w:p w:rsidR="00697BC8" w:rsidRPr="00470480" w:rsidRDefault="00697BC8" w:rsidP="00697BC8">
      <w:pPr>
        <w:spacing w:after="0"/>
        <w:jc w:val="both"/>
        <w:rPr>
          <w:rFonts w:ascii="Arial" w:hAnsi="Arial" w:cs="Arial"/>
          <w:sz w:val="20"/>
          <w:szCs w:val="20"/>
        </w:rPr>
      </w:pPr>
    </w:p>
    <w:p w:rsidR="00697BC8" w:rsidRPr="00470480" w:rsidRDefault="00697BC8" w:rsidP="00697BC8">
      <w:pPr>
        <w:spacing w:after="0"/>
        <w:jc w:val="both"/>
        <w:rPr>
          <w:rFonts w:ascii="Arial" w:hAnsi="Arial" w:cs="Arial"/>
          <w:sz w:val="20"/>
          <w:szCs w:val="20"/>
        </w:rPr>
      </w:pPr>
    </w:p>
    <w:p w:rsidR="00697BC8" w:rsidRPr="00470480" w:rsidRDefault="00697BC8" w:rsidP="00697BC8">
      <w:pPr>
        <w:spacing w:after="0"/>
        <w:jc w:val="both"/>
        <w:rPr>
          <w:rFonts w:ascii="Arial" w:hAnsi="Arial" w:cs="Arial"/>
          <w:sz w:val="20"/>
          <w:szCs w:val="20"/>
        </w:rPr>
      </w:pPr>
    </w:p>
    <w:p w:rsidR="00697BC8" w:rsidRPr="00470480" w:rsidRDefault="00697BC8" w:rsidP="00697BC8">
      <w:pPr>
        <w:spacing w:after="0"/>
        <w:jc w:val="both"/>
        <w:rPr>
          <w:rFonts w:ascii="Arial" w:hAnsi="Arial" w:cs="Arial"/>
          <w:sz w:val="20"/>
          <w:szCs w:val="20"/>
        </w:rPr>
      </w:pPr>
    </w:p>
    <w:p w:rsidR="00697BC8" w:rsidRPr="00470480" w:rsidRDefault="00697BC8" w:rsidP="00697BC8">
      <w:pPr>
        <w:spacing w:after="0"/>
        <w:jc w:val="both"/>
        <w:rPr>
          <w:rFonts w:ascii="Arial" w:hAnsi="Arial" w:cs="Arial"/>
          <w:sz w:val="20"/>
          <w:szCs w:val="20"/>
        </w:rPr>
      </w:pPr>
    </w:p>
    <w:p w:rsidR="00697BC8" w:rsidRPr="00470480" w:rsidRDefault="00697BC8" w:rsidP="00697BC8">
      <w:pPr>
        <w:spacing w:after="0"/>
        <w:jc w:val="both"/>
        <w:rPr>
          <w:rFonts w:ascii="Arial" w:hAnsi="Arial" w:cs="Arial"/>
          <w:sz w:val="20"/>
          <w:szCs w:val="20"/>
        </w:rPr>
      </w:pPr>
    </w:p>
    <w:p w:rsidR="00697BC8" w:rsidRPr="00470480" w:rsidRDefault="00697BC8" w:rsidP="00697BC8">
      <w:pPr>
        <w:spacing w:after="0"/>
        <w:jc w:val="both"/>
        <w:rPr>
          <w:rFonts w:ascii="Arial" w:hAnsi="Arial" w:cs="Arial"/>
          <w:sz w:val="20"/>
          <w:szCs w:val="20"/>
        </w:rPr>
      </w:pPr>
    </w:p>
    <w:p w:rsidR="00697BC8" w:rsidRPr="00470480" w:rsidRDefault="00697BC8" w:rsidP="00697BC8">
      <w:pPr>
        <w:spacing w:after="0"/>
        <w:jc w:val="both"/>
        <w:rPr>
          <w:rFonts w:ascii="Arial" w:hAnsi="Arial" w:cs="Arial"/>
          <w:sz w:val="20"/>
          <w:szCs w:val="20"/>
        </w:rPr>
      </w:pPr>
    </w:p>
    <w:p w:rsidR="00697BC8" w:rsidRPr="00470480" w:rsidRDefault="00697BC8" w:rsidP="00697BC8">
      <w:pPr>
        <w:spacing w:after="0"/>
        <w:jc w:val="both"/>
        <w:rPr>
          <w:rFonts w:ascii="Arial" w:hAnsi="Arial" w:cs="Arial"/>
          <w:sz w:val="20"/>
          <w:szCs w:val="20"/>
        </w:rPr>
      </w:pPr>
    </w:p>
    <w:p w:rsidR="00697BC8" w:rsidRPr="00470480" w:rsidRDefault="00697BC8" w:rsidP="00697BC8">
      <w:pPr>
        <w:spacing w:after="0"/>
        <w:jc w:val="both"/>
        <w:rPr>
          <w:rFonts w:ascii="Arial" w:hAnsi="Arial" w:cs="Arial"/>
          <w:sz w:val="20"/>
          <w:szCs w:val="20"/>
        </w:rPr>
      </w:pPr>
    </w:p>
    <w:p w:rsidR="00697BC8" w:rsidRPr="00470480" w:rsidRDefault="00697BC8" w:rsidP="00697BC8">
      <w:pPr>
        <w:spacing w:after="0"/>
        <w:jc w:val="both"/>
        <w:rPr>
          <w:rFonts w:ascii="Arial" w:hAnsi="Arial" w:cs="Arial"/>
          <w:sz w:val="20"/>
          <w:szCs w:val="20"/>
        </w:rPr>
      </w:pPr>
    </w:p>
    <w:p w:rsidR="00697BC8" w:rsidRPr="00470480" w:rsidRDefault="00697BC8" w:rsidP="00697BC8">
      <w:pPr>
        <w:spacing w:after="0"/>
        <w:jc w:val="both"/>
        <w:rPr>
          <w:rFonts w:ascii="Arial" w:hAnsi="Arial" w:cs="Arial"/>
          <w:sz w:val="20"/>
          <w:szCs w:val="20"/>
        </w:rPr>
      </w:pPr>
    </w:p>
    <w:p w:rsidR="00697BC8" w:rsidRPr="00470480" w:rsidRDefault="00697BC8" w:rsidP="00697BC8">
      <w:pPr>
        <w:spacing w:after="0"/>
        <w:jc w:val="both"/>
        <w:rPr>
          <w:rFonts w:ascii="Arial" w:hAnsi="Arial" w:cs="Arial"/>
          <w:sz w:val="20"/>
          <w:szCs w:val="20"/>
        </w:rPr>
      </w:pPr>
    </w:p>
    <w:p w:rsidR="00697BC8" w:rsidRPr="00470480" w:rsidRDefault="00697BC8" w:rsidP="00697BC8">
      <w:pPr>
        <w:spacing w:after="0"/>
        <w:jc w:val="both"/>
        <w:rPr>
          <w:rFonts w:ascii="Arial" w:hAnsi="Arial" w:cs="Arial"/>
          <w:sz w:val="20"/>
          <w:szCs w:val="20"/>
        </w:rPr>
      </w:pPr>
    </w:p>
    <w:p w:rsidR="00697BC8" w:rsidRPr="00470480" w:rsidRDefault="00697BC8" w:rsidP="00697BC8">
      <w:pPr>
        <w:spacing w:after="0"/>
        <w:jc w:val="both"/>
        <w:rPr>
          <w:rFonts w:ascii="Arial" w:hAnsi="Arial" w:cs="Arial"/>
          <w:sz w:val="20"/>
          <w:szCs w:val="20"/>
        </w:rPr>
      </w:pPr>
    </w:p>
    <w:p w:rsidR="00697BC8" w:rsidRPr="00470480" w:rsidRDefault="00697BC8" w:rsidP="00697BC8">
      <w:pPr>
        <w:spacing w:after="0"/>
        <w:jc w:val="both"/>
        <w:rPr>
          <w:rFonts w:ascii="Arial" w:hAnsi="Arial" w:cs="Arial"/>
          <w:sz w:val="20"/>
          <w:szCs w:val="20"/>
        </w:rPr>
      </w:pPr>
    </w:p>
    <w:p w:rsidR="00697BC8" w:rsidRPr="00470480" w:rsidRDefault="00697BC8" w:rsidP="00697BC8">
      <w:pPr>
        <w:spacing w:after="0"/>
        <w:jc w:val="both"/>
        <w:rPr>
          <w:rFonts w:ascii="Arial" w:hAnsi="Arial" w:cs="Arial"/>
          <w:sz w:val="20"/>
          <w:szCs w:val="20"/>
        </w:rPr>
      </w:pPr>
    </w:p>
    <w:p w:rsidR="00697BC8" w:rsidRPr="00470480" w:rsidRDefault="00697BC8" w:rsidP="00697BC8">
      <w:pPr>
        <w:spacing w:after="0"/>
        <w:jc w:val="both"/>
        <w:rPr>
          <w:rFonts w:ascii="Arial" w:hAnsi="Arial" w:cs="Arial"/>
          <w:sz w:val="20"/>
          <w:szCs w:val="20"/>
        </w:rPr>
      </w:pPr>
    </w:p>
    <w:p w:rsidR="00697BC8" w:rsidRPr="00470480" w:rsidRDefault="00697BC8" w:rsidP="00697BC8">
      <w:pPr>
        <w:spacing w:after="0"/>
        <w:jc w:val="both"/>
        <w:rPr>
          <w:rFonts w:ascii="Arial" w:hAnsi="Arial" w:cs="Arial"/>
          <w:sz w:val="20"/>
          <w:szCs w:val="20"/>
        </w:rPr>
      </w:pPr>
    </w:p>
    <w:p w:rsidR="00697BC8" w:rsidRPr="00470480" w:rsidRDefault="00697BC8" w:rsidP="00697BC8">
      <w:pPr>
        <w:spacing w:after="0"/>
        <w:jc w:val="both"/>
        <w:rPr>
          <w:rFonts w:ascii="Arial" w:hAnsi="Arial" w:cs="Arial"/>
          <w:sz w:val="20"/>
          <w:szCs w:val="20"/>
        </w:rPr>
      </w:pPr>
    </w:p>
    <w:p w:rsidR="00697BC8" w:rsidRPr="00470480" w:rsidRDefault="00697BC8" w:rsidP="00697BC8">
      <w:pPr>
        <w:spacing w:after="0"/>
        <w:jc w:val="both"/>
        <w:rPr>
          <w:rFonts w:ascii="Arial" w:hAnsi="Arial" w:cs="Arial"/>
          <w:sz w:val="20"/>
          <w:szCs w:val="20"/>
        </w:rPr>
      </w:pPr>
    </w:p>
    <w:p w:rsidR="00697BC8" w:rsidRDefault="00697BC8">
      <w:pPr>
        <w:rPr>
          <w:rFonts w:ascii="Arial" w:hAnsi="Arial" w:cs="Arial"/>
          <w:sz w:val="20"/>
          <w:szCs w:val="20"/>
        </w:rPr>
      </w:pPr>
      <w:r>
        <w:rPr>
          <w:rFonts w:ascii="Arial" w:hAnsi="Arial" w:cs="Arial"/>
          <w:sz w:val="20"/>
          <w:szCs w:val="20"/>
        </w:rPr>
        <w:br w:type="page"/>
      </w:r>
    </w:p>
    <w:p w:rsidR="00697BC8" w:rsidRPr="00470480" w:rsidRDefault="00697BC8" w:rsidP="00697BC8">
      <w:pPr>
        <w:spacing w:after="0"/>
        <w:jc w:val="both"/>
        <w:rPr>
          <w:rFonts w:ascii="Arial" w:hAnsi="Arial" w:cs="Arial"/>
          <w:b/>
          <w:bCs/>
          <w:color w:val="000000"/>
          <w:sz w:val="20"/>
          <w:szCs w:val="20"/>
        </w:rPr>
      </w:pPr>
      <w:r w:rsidRPr="00470480">
        <w:rPr>
          <w:rFonts w:ascii="Arial" w:hAnsi="Arial" w:cs="Arial"/>
          <w:b/>
          <w:bCs/>
          <w:color w:val="000000"/>
          <w:sz w:val="20"/>
          <w:szCs w:val="20"/>
        </w:rPr>
        <w:lastRenderedPageBreak/>
        <w:t>Master Direction - Classification, Valuation and Operation of Investment Portfolio of Commercial Banks (Directions), 2021 – Amendment</w:t>
      </w:r>
    </w:p>
    <w:p w:rsidR="00697BC8" w:rsidRPr="00470480" w:rsidRDefault="00697BC8" w:rsidP="00697BC8">
      <w:pPr>
        <w:spacing w:after="0"/>
        <w:jc w:val="both"/>
        <w:rPr>
          <w:rFonts w:ascii="Arial" w:hAnsi="Arial" w:cs="Arial"/>
          <w:b/>
          <w:bCs/>
          <w:color w:val="000000"/>
          <w:sz w:val="20"/>
          <w:szCs w:val="20"/>
        </w:rPr>
      </w:pPr>
    </w:p>
    <w:p w:rsidR="00697BC8" w:rsidRPr="00470480" w:rsidRDefault="00697BC8" w:rsidP="00697BC8">
      <w:pPr>
        <w:pStyle w:val="NormalWeb"/>
        <w:jc w:val="both"/>
        <w:rPr>
          <w:rFonts w:ascii="Arial" w:hAnsi="Arial" w:cs="Arial"/>
          <w:color w:val="000000"/>
          <w:sz w:val="20"/>
          <w:szCs w:val="20"/>
        </w:rPr>
      </w:pPr>
      <w:r w:rsidRPr="00470480">
        <w:rPr>
          <w:rFonts w:ascii="Arial" w:hAnsi="Arial" w:cs="Arial"/>
          <w:color w:val="000000"/>
          <w:sz w:val="20"/>
          <w:szCs w:val="20"/>
        </w:rPr>
        <w:t>RBI/2021-22/185</w:t>
      </w:r>
      <w:r w:rsidRPr="00470480">
        <w:rPr>
          <w:rFonts w:ascii="Arial" w:hAnsi="Arial" w:cs="Arial"/>
          <w:color w:val="000000"/>
          <w:sz w:val="20"/>
          <w:szCs w:val="20"/>
        </w:rPr>
        <w:br/>
        <w:t>DOR.MRG.REC.96/21.04.141/2021-22</w:t>
      </w:r>
    </w:p>
    <w:p w:rsidR="00697BC8" w:rsidRPr="00470480" w:rsidRDefault="00697BC8" w:rsidP="00697BC8">
      <w:pPr>
        <w:pStyle w:val="NormalWeb"/>
        <w:jc w:val="right"/>
        <w:rPr>
          <w:rFonts w:ascii="Arial" w:hAnsi="Arial" w:cs="Arial"/>
          <w:color w:val="000000"/>
          <w:sz w:val="20"/>
          <w:szCs w:val="20"/>
        </w:rPr>
      </w:pPr>
      <w:r w:rsidRPr="00470480">
        <w:rPr>
          <w:rFonts w:ascii="Arial" w:hAnsi="Arial" w:cs="Arial"/>
          <w:color w:val="000000"/>
          <w:sz w:val="20"/>
          <w:szCs w:val="20"/>
        </w:rPr>
        <w:t>March 23, 2022</w:t>
      </w:r>
    </w:p>
    <w:p w:rsidR="00697BC8" w:rsidRPr="00470480" w:rsidRDefault="00697BC8" w:rsidP="00697BC8">
      <w:pPr>
        <w:pStyle w:val="NormalWeb"/>
        <w:jc w:val="both"/>
        <w:rPr>
          <w:rFonts w:ascii="Arial" w:hAnsi="Arial" w:cs="Arial"/>
          <w:color w:val="000000"/>
          <w:sz w:val="20"/>
          <w:szCs w:val="20"/>
        </w:rPr>
      </w:pPr>
      <w:r w:rsidRPr="00470480">
        <w:rPr>
          <w:rFonts w:ascii="Arial" w:hAnsi="Arial" w:cs="Arial"/>
          <w:color w:val="000000"/>
          <w:sz w:val="20"/>
          <w:szCs w:val="20"/>
        </w:rPr>
        <w:t>Dear Sir / Madam,</w:t>
      </w:r>
    </w:p>
    <w:p w:rsidR="00697BC8" w:rsidRPr="00470480" w:rsidRDefault="00697BC8" w:rsidP="00697BC8">
      <w:pPr>
        <w:pStyle w:val="head"/>
        <w:jc w:val="both"/>
        <w:rPr>
          <w:rFonts w:ascii="Arial" w:hAnsi="Arial" w:cs="Arial"/>
          <w:b/>
          <w:bCs/>
          <w:color w:val="000000"/>
          <w:sz w:val="20"/>
          <w:szCs w:val="20"/>
        </w:rPr>
      </w:pPr>
      <w:r w:rsidRPr="00470480">
        <w:rPr>
          <w:rFonts w:ascii="Arial" w:hAnsi="Arial" w:cs="Arial"/>
          <w:b/>
          <w:bCs/>
          <w:color w:val="000000"/>
          <w:sz w:val="20"/>
          <w:szCs w:val="20"/>
        </w:rPr>
        <w:t>Master Direction - Classification, Valuation and Operation of Investment Portfolio of Commercial Banks (Directions), 2021 - Amendment</w:t>
      </w:r>
    </w:p>
    <w:p w:rsidR="00697BC8" w:rsidRPr="00470480" w:rsidRDefault="00697BC8" w:rsidP="00697BC8">
      <w:pPr>
        <w:pStyle w:val="NormalWeb"/>
        <w:jc w:val="both"/>
        <w:rPr>
          <w:rFonts w:ascii="Arial" w:hAnsi="Arial" w:cs="Arial"/>
          <w:color w:val="000000"/>
          <w:sz w:val="20"/>
          <w:szCs w:val="20"/>
        </w:rPr>
      </w:pPr>
      <w:r w:rsidRPr="00470480">
        <w:rPr>
          <w:rFonts w:ascii="Arial" w:hAnsi="Arial" w:cs="Arial"/>
          <w:color w:val="000000"/>
          <w:sz w:val="20"/>
          <w:szCs w:val="20"/>
        </w:rPr>
        <w:t>Please refer to the </w:t>
      </w:r>
      <w:hyperlink r:id="rId27" w:tgtFrame="_blank" w:history="1">
        <w:r w:rsidRPr="00470480">
          <w:rPr>
            <w:rStyle w:val="Hyperlink"/>
            <w:rFonts w:ascii="Arial" w:hAnsi="Arial" w:cs="Arial"/>
            <w:sz w:val="20"/>
            <w:szCs w:val="20"/>
          </w:rPr>
          <w:t>Master Direction DOR.MRG.42/21.04.141/2021-22 dated August 25, 2021</w:t>
        </w:r>
      </w:hyperlink>
      <w:r w:rsidRPr="00470480">
        <w:rPr>
          <w:rFonts w:ascii="Arial" w:hAnsi="Arial" w:cs="Arial"/>
          <w:color w:val="000000"/>
          <w:sz w:val="20"/>
          <w:szCs w:val="20"/>
        </w:rPr>
        <w:t> – ‘Classification, Valuation and Operation of Investment Portfolio of Commercial Banks (Directions), 2021’ (hereinafter referred as ‘Master Direction’).</w:t>
      </w:r>
    </w:p>
    <w:p w:rsidR="00697BC8" w:rsidRPr="00470480" w:rsidRDefault="00697BC8" w:rsidP="00697BC8">
      <w:pPr>
        <w:pStyle w:val="NormalWeb"/>
        <w:jc w:val="both"/>
        <w:rPr>
          <w:rFonts w:ascii="Arial" w:hAnsi="Arial" w:cs="Arial"/>
          <w:color w:val="000000"/>
          <w:sz w:val="20"/>
          <w:szCs w:val="20"/>
        </w:rPr>
      </w:pPr>
      <w:r w:rsidRPr="00470480">
        <w:rPr>
          <w:rFonts w:ascii="Arial" w:hAnsi="Arial" w:cs="Arial"/>
          <w:color w:val="000000"/>
          <w:sz w:val="20"/>
          <w:szCs w:val="20"/>
        </w:rPr>
        <w:t>2. The Master Direction outlines the prudential treatment for investment in Venture Capital Funds (VCFs). We have received queries from banks regarding the applicability of these instructions for investment in Alternative Investment Funds (AIFs).</w:t>
      </w:r>
    </w:p>
    <w:p w:rsidR="00697BC8" w:rsidRPr="00470480" w:rsidRDefault="00697BC8" w:rsidP="00697BC8">
      <w:pPr>
        <w:pStyle w:val="NormalWeb"/>
        <w:jc w:val="both"/>
        <w:rPr>
          <w:rFonts w:ascii="Arial" w:hAnsi="Arial" w:cs="Arial"/>
          <w:color w:val="000000"/>
          <w:sz w:val="20"/>
          <w:szCs w:val="20"/>
        </w:rPr>
      </w:pPr>
      <w:r w:rsidRPr="00470480">
        <w:rPr>
          <w:rFonts w:ascii="Arial" w:hAnsi="Arial" w:cs="Arial"/>
          <w:color w:val="000000"/>
          <w:sz w:val="20"/>
          <w:szCs w:val="20"/>
        </w:rPr>
        <w:t xml:space="preserve">3. Accordingly, on a review, it has been decided that the investment in Category I and Category II </w:t>
      </w:r>
      <w:proofErr w:type="spellStart"/>
      <w:r w:rsidRPr="00470480">
        <w:rPr>
          <w:rFonts w:ascii="Arial" w:hAnsi="Arial" w:cs="Arial"/>
          <w:color w:val="000000"/>
          <w:sz w:val="20"/>
          <w:szCs w:val="20"/>
        </w:rPr>
        <w:t>AlFs</w:t>
      </w:r>
      <w:proofErr w:type="spellEnd"/>
      <w:r w:rsidRPr="00470480">
        <w:rPr>
          <w:rFonts w:ascii="Arial" w:hAnsi="Arial" w:cs="Arial"/>
          <w:color w:val="000000"/>
          <w:sz w:val="20"/>
          <w:szCs w:val="20"/>
        </w:rPr>
        <w:t>, which includes VCFs, shall receive the same prudential treatment as applicable for investment in VCFs.</w:t>
      </w:r>
    </w:p>
    <w:p w:rsidR="00697BC8" w:rsidRPr="00470480" w:rsidRDefault="00697BC8" w:rsidP="00697BC8">
      <w:pPr>
        <w:pStyle w:val="NormalWeb"/>
        <w:jc w:val="both"/>
        <w:rPr>
          <w:rFonts w:ascii="Arial" w:hAnsi="Arial" w:cs="Arial"/>
          <w:color w:val="000000"/>
          <w:sz w:val="20"/>
          <w:szCs w:val="20"/>
        </w:rPr>
      </w:pPr>
      <w:r w:rsidRPr="00470480">
        <w:rPr>
          <w:rFonts w:ascii="Arial" w:hAnsi="Arial" w:cs="Arial"/>
          <w:color w:val="000000"/>
          <w:sz w:val="20"/>
          <w:szCs w:val="20"/>
        </w:rPr>
        <w:t>4. In addition, based on feedback from banks, clarifications / updates have been provided regarding section 4(a)(vii), 10(c)(ix), 12(ii)(b), 12(ii)(d)(ix), 13(iv)(b), 16(</w:t>
      </w:r>
      <w:proofErr w:type="spellStart"/>
      <w:r w:rsidRPr="00470480">
        <w:rPr>
          <w:rFonts w:ascii="Arial" w:hAnsi="Arial" w:cs="Arial"/>
          <w:color w:val="000000"/>
          <w:sz w:val="20"/>
          <w:szCs w:val="20"/>
        </w:rPr>
        <w:t>i</w:t>
      </w:r>
      <w:proofErr w:type="spellEnd"/>
      <w:r w:rsidRPr="00470480">
        <w:rPr>
          <w:rFonts w:ascii="Arial" w:hAnsi="Arial" w:cs="Arial"/>
          <w:color w:val="000000"/>
          <w:sz w:val="20"/>
          <w:szCs w:val="20"/>
        </w:rPr>
        <w:t>), 16(ii), 18(ii)(e)(ii) and Annex II of the Master Direction.</w:t>
      </w:r>
    </w:p>
    <w:p w:rsidR="00697BC8" w:rsidRPr="00470480" w:rsidRDefault="00697BC8" w:rsidP="00697BC8">
      <w:pPr>
        <w:pStyle w:val="NormalWeb"/>
        <w:jc w:val="both"/>
        <w:rPr>
          <w:rFonts w:ascii="Arial" w:hAnsi="Arial" w:cs="Arial"/>
          <w:color w:val="000000"/>
          <w:sz w:val="20"/>
          <w:szCs w:val="20"/>
        </w:rPr>
      </w:pPr>
      <w:r w:rsidRPr="00470480">
        <w:rPr>
          <w:rFonts w:ascii="Arial" w:hAnsi="Arial" w:cs="Arial"/>
          <w:color w:val="000000"/>
          <w:sz w:val="20"/>
          <w:szCs w:val="20"/>
        </w:rPr>
        <w:t>5. The relevant sections of the Master Direction have been amended to reflect the aforementioned changes.</w:t>
      </w:r>
    </w:p>
    <w:p w:rsidR="00697BC8" w:rsidRPr="00470480" w:rsidRDefault="00697BC8" w:rsidP="00697BC8">
      <w:pPr>
        <w:pStyle w:val="head"/>
        <w:jc w:val="both"/>
        <w:rPr>
          <w:rFonts w:ascii="Arial" w:hAnsi="Arial" w:cs="Arial"/>
          <w:b/>
          <w:bCs/>
          <w:color w:val="000000"/>
          <w:sz w:val="20"/>
          <w:szCs w:val="20"/>
        </w:rPr>
      </w:pPr>
      <w:r w:rsidRPr="00470480">
        <w:rPr>
          <w:rFonts w:ascii="Arial" w:hAnsi="Arial" w:cs="Arial"/>
          <w:b/>
          <w:bCs/>
          <w:color w:val="000000"/>
          <w:sz w:val="20"/>
          <w:szCs w:val="20"/>
        </w:rPr>
        <w:t>Applicability</w:t>
      </w:r>
    </w:p>
    <w:p w:rsidR="00697BC8" w:rsidRPr="00470480" w:rsidRDefault="00697BC8" w:rsidP="00697BC8">
      <w:pPr>
        <w:pStyle w:val="NormalWeb"/>
        <w:jc w:val="both"/>
        <w:rPr>
          <w:rFonts w:ascii="Arial" w:hAnsi="Arial" w:cs="Arial"/>
          <w:color w:val="000000"/>
          <w:sz w:val="20"/>
          <w:szCs w:val="20"/>
        </w:rPr>
      </w:pPr>
      <w:r w:rsidRPr="00470480">
        <w:rPr>
          <w:rFonts w:ascii="Arial" w:hAnsi="Arial" w:cs="Arial"/>
          <w:color w:val="000000"/>
          <w:sz w:val="20"/>
          <w:szCs w:val="20"/>
        </w:rPr>
        <w:t>6. This circular is applicable to all Commercial Banks (excluding Regional Rural Banks).</w:t>
      </w:r>
    </w:p>
    <w:p w:rsidR="00697BC8" w:rsidRPr="00470480" w:rsidRDefault="00697BC8" w:rsidP="00697BC8">
      <w:pPr>
        <w:pStyle w:val="NormalWeb"/>
        <w:jc w:val="both"/>
        <w:rPr>
          <w:rFonts w:ascii="Arial" w:hAnsi="Arial" w:cs="Arial"/>
          <w:color w:val="000000"/>
          <w:sz w:val="20"/>
          <w:szCs w:val="20"/>
        </w:rPr>
      </w:pPr>
      <w:r w:rsidRPr="00470480">
        <w:rPr>
          <w:rFonts w:ascii="Arial" w:hAnsi="Arial" w:cs="Arial"/>
          <w:color w:val="000000"/>
          <w:sz w:val="20"/>
          <w:szCs w:val="20"/>
        </w:rPr>
        <w:t>7. These instructions shall come into force with immediate effect.</w:t>
      </w:r>
    </w:p>
    <w:p w:rsidR="00697BC8" w:rsidRPr="00470480" w:rsidRDefault="00697BC8" w:rsidP="00697BC8">
      <w:pPr>
        <w:pStyle w:val="NormalWeb"/>
        <w:jc w:val="both"/>
        <w:rPr>
          <w:rFonts w:ascii="Arial" w:hAnsi="Arial" w:cs="Arial"/>
          <w:color w:val="000000"/>
          <w:sz w:val="20"/>
          <w:szCs w:val="20"/>
        </w:rPr>
      </w:pPr>
      <w:r w:rsidRPr="00470480">
        <w:rPr>
          <w:rFonts w:ascii="Arial" w:hAnsi="Arial" w:cs="Arial"/>
          <w:color w:val="000000"/>
          <w:sz w:val="20"/>
          <w:szCs w:val="20"/>
        </w:rPr>
        <w:t>Yours faithfully,</w:t>
      </w:r>
    </w:p>
    <w:p w:rsidR="00697BC8" w:rsidRPr="00470480" w:rsidRDefault="00697BC8" w:rsidP="00697BC8">
      <w:pPr>
        <w:pStyle w:val="NormalWeb"/>
        <w:rPr>
          <w:rFonts w:ascii="Arial" w:hAnsi="Arial" w:cs="Arial"/>
          <w:color w:val="000000"/>
          <w:sz w:val="20"/>
          <w:szCs w:val="20"/>
        </w:rPr>
      </w:pPr>
      <w:r w:rsidRPr="00470480">
        <w:rPr>
          <w:rFonts w:ascii="Arial" w:hAnsi="Arial" w:cs="Arial"/>
          <w:color w:val="000000"/>
          <w:sz w:val="20"/>
          <w:szCs w:val="20"/>
        </w:rPr>
        <w:t>(</w:t>
      </w:r>
      <w:proofErr w:type="spellStart"/>
      <w:r w:rsidRPr="00470480">
        <w:rPr>
          <w:rFonts w:ascii="Arial" w:hAnsi="Arial" w:cs="Arial"/>
          <w:color w:val="000000"/>
          <w:sz w:val="20"/>
          <w:szCs w:val="20"/>
        </w:rPr>
        <w:t>Usha</w:t>
      </w:r>
      <w:proofErr w:type="spellEnd"/>
      <w:r w:rsidRPr="00470480">
        <w:rPr>
          <w:rFonts w:ascii="Arial" w:hAnsi="Arial" w:cs="Arial"/>
          <w:color w:val="000000"/>
          <w:sz w:val="20"/>
          <w:szCs w:val="20"/>
        </w:rPr>
        <w:t xml:space="preserve"> </w:t>
      </w:r>
      <w:proofErr w:type="spellStart"/>
      <w:r w:rsidRPr="00470480">
        <w:rPr>
          <w:rFonts w:ascii="Arial" w:hAnsi="Arial" w:cs="Arial"/>
          <w:color w:val="000000"/>
          <w:sz w:val="20"/>
          <w:szCs w:val="20"/>
        </w:rPr>
        <w:t>Janakiraman</w:t>
      </w:r>
      <w:proofErr w:type="spellEnd"/>
      <w:r w:rsidRPr="00470480">
        <w:rPr>
          <w:rFonts w:ascii="Arial" w:hAnsi="Arial" w:cs="Arial"/>
          <w:color w:val="000000"/>
          <w:sz w:val="20"/>
          <w:szCs w:val="20"/>
        </w:rPr>
        <w:t>)</w:t>
      </w:r>
      <w:r w:rsidRPr="00470480">
        <w:rPr>
          <w:rFonts w:ascii="Arial" w:hAnsi="Arial" w:cs="Arial"/>
          <w:color w:val="000000"/>
          <w:sz w:val="20"/>
          <w:szCs w:val="20"/>
        </w:rPr>
        <w:br/>
        <w:t>Chief General Manager</w:t>
      </w:r>
    </w:p>
    <w:p w:rsidR="00697BC8" w:rsidRPr="00470480" w:rsidRDefault="00697BC8" w:rsidP="00697BC8">
      <w:pPr>
        <w:spacing w:after="0"/>
        <w:jc w:val="both"/>
        <w:rPr>
          <w:rFonts w:ascii="Arial" w:hAnsi="Arial" w:cs="Arial"/>
          <w:sz w:val="20"/>
          <w:szCs w:val="20"/>
        </w:rPr>
      </w:pPr>
      <w:r w:rsidRPr="00470480">
        <w:rPr>
          <w:rFonts w:ascii="Arial" w:hAnsi="Arial" w:cs="Arial"/>
          <w:sz w:val="20"/>
          <w:szCs w:val="20"/>
        </w:rPr>
        <w:t xml:space="preserve">Reference Link: </w:t>
      </w:r>
      <w:hyperlink r:id="rId28" w:history="1">
        <w:r w:rsidRPr="00470480">
          <w:rPr>
            <w:rStyle w:val="Hyperlink"/>
            <w:rFonts w:ascii="Arial" w:hAnsi="Arial" w:cs="Arial"/>
            <w:sz w:val="20"/>
            <w:szCs w:val="20"/>
          </w:rPr>
          <w:t>https://www.rbi.org.in/Scripts/NotificationUser.aspx?Id=12258&amp;Mode=0</w:t>
        </w:r>
      </w:hyperlink>
    </w:p>
    <w:p w:rsidR="00697BC8" w:rsidRPr="00470480" w:rsidRDefault="00697BC8" w:rsidP="00697BC8">
      <w:pPr>
        <w:spacing w:after="0"/>
        <w:jc w:val="both"/>
        <w:rPr>
          <w:rFonts w:ascii="Arial" w:hAnsi="Arial" w:cs="Arial"/>
          <w:sz w:val="20"/>
          <w:szCs w:val="20"/>
        </w:rPr>
      </w:pPr>
    </w:p>
    <w:p w:rsidR="00697BC8" w:rsidRPr="00470480" w:rsidRDefault="00697BC8" w:rsidP="00697BC8">
      <w:pPr>
        <w:spacing w:after="0"/>
        <w:jc w:val="both"/>
        <w:rPr>
          <w:rFonts w:ascii="Arial" w:hAnsi="Arial" w:cs="Arial"/>
          <w:sz w:val="20"/>
          <w:szCs w:val="20"/>
        </w:rPr>
      </w:pPr>
    </w:p>
    <w:p w:rsidR="00697BC8" w:rsidRPr="00470480" w:rsidRDefault="00697BC8" w:rsidP="00697BC8">
      <w:pPr>
        <w:spacing w:after="0"/>
        <w:jc w:val="both"/>
        <w:rPr>
          <w:rFonts w:ascii="Arial" w:hAnsi="Arial" w:cs="Arial"/>
          <w:sz w:val="20"/>
          <w:szCs w:val="20"/>
        </w:rPr>
      </w:pPr>
    </w:p>
    <w:p w:rsidR="00697BC8" w:rsidRPr="00470480" w:rsidRDefault="00697BC8" w:rsidP="00697BC8">
      <w:pPr>
        <w:spacing w:after="0"/>
        <w:jc w:val="both"/>
        <w:rPr>
          <w:rFonts w:ascii="Arial" w:hAnsi="Arial" w:cs="Arial"/>
          <w:sz w:val="20"/>
          <w:szCs w:val="20"/>
        </w:rPr>
      </w:pPr>
    </w:p>
    <w:p w:rsidR="00697BC8" w:rsidRDefault="00697BC8">
      <w:pPr>
        <w:rPr>
          <w:rFonts w:ascii="Arial" w:hAnsi="Arial" w:cs="Arial"/>
          <w:sz w:val="20"/>
          <w:szCs w:val="20"/>
        </w:rPr>
      </w:pPr>
      <w:r>
        <w:rPr>
          <w:rFonts w:ascii="Arial" w:hAnsi="Arial" w:cs="Arial"/>
          <w:sz w:val="20"/>
          <w:szCs w:val="20"/>
        </w:rPr>
        <w:br w:type="page"/>
      </w:r>
    </w:p>
    <w:p w:rsidR="005533F8" w:rsidRPr="00470480" w:rsidRDefault="005533F8" w:rsidP="005533F8">
      <w:pPr>
        <w:spacing w:after="0"/>
        <w:jc w:val="both"/>
        <w:rPr>
          <w:rFonts w:ascii="Arial" w:hAnsi="Arial" w:cs="Arial"/>
          <w:b/>
          <w:bCs/>
          <w:color w:val="000000"/>
          <w:sz w:val="20"/>
          <w:szCs w:val="20"/>
        </w:rPr>
      </w:pPr>
      <w:r w:rsidRPr="00470480">
        <w:rPr>
          <w:rFonts w:ascii="Arial" w:hAnsi="Arial" w:cs="Arial"/>
          <w:b/>
          <w:bCs/>
          <w:color w:val="000000"/>
          <w:sz w:val="20"/>
          <w:szCs w:val="20"/>
        </w:rPr>
        <w:lastRenderedPageBreak/>
        <w:t>Rupee Interest Rate Derivatives (Reserve Bank) Directions – Review</w:t>
      </w:r>
    </w:p>
    <w:p w:rsidR="005533F8" w:rsidRPr="00470480" w:rsidRDefault="005533F8" w:rsidP="005533F8">
      <w:pPr>
        <w:spacing w:after="0"/>
        <w:jc w:val="both"/>
        <w:rPr>
          <w:rFonts w:ascii="Arial" w:hAnsi="Arial" w:cs="Arial"/>
          <w:b/>
          <w:bCs/>
          <w:color w:val="000000"/>
          <w:sz w:val="20"/>
          <w:szCs w:val="20"/>
        </w:rPr>
      </w:pPr>
    </w:p>
    <w:p w:rsidR="005533F8" w:rsidRPr="00470480" w:rsidRDefault="005533F8" w:rsidP="005533F8">
      <w:pPr>
        <w:pStyle w:val="NormalWeb"/>
        <w:jc w:val="both"/>
        <w:rPr>
          <w:rFonts w:ascii="Arial" w:hAnsi="Arial" w:cs="Arial"/>
          <w:color w:val="000000"/>
          <w:sz w:val="20"/>
          <w:szCs w:val="20"/>
        </w:rPr>
      </w:pPr>
      <w:r w:rsidRPr="00470480">
        <w:rPr>
          <w:rFonts w:ascii="Arial" w:hAnsi="Arial" w:cs="Arial"/>
          <w:color w:val="000000"/>
          <w:sz w:val="20"/>
          <w:szCs w:val="20"/>
        </w:rPr>
        <w:t>RBI/2021-22/157</w:t>
      </w:r>
      <w:r w:rsidRPr="00470480">
        <w:rPr>
          <w:rFonts w:ascii="Arial" w:hAnsi="Arial" w:cs="Arial"/>
          <w:color w:val="000000"/>
          <w:sz w:val="20"/>
          <w:szCs w:val="20"/>
        </w:rPr>
        <w:br/>
        <w:t>FMRD.DIRD.12/14.03.046/2021-22</w:t>
      </w:r>
    </w:p>
    <w:p w:rsidR="005533F8" w:rsidRPr="00470480" w:rsidRDefault="005533F8" w:rsidP="005533F8">
      <w:pPr>
        <w:pStyle w:val="NormalWeb"/>
        <w:jc w:val="right"/>
        <w:rPr>
          <w:rFonts w:ascii="Arial" w:hAnsi="Arial" w:cs="Arial"/>
          <w:color w:val="000000"/>
          <w:sz w:val="20"/>
          <w:szCs w:val="20"/>
        </w:rPr>
      </w:pPr>
      <w:r w:rsidRPr="00470480">
        <w:rPr>
          <w:rFonts w:ascii="Arial" w:hAnsi="Arial" w:cs="Arial"/>
          <w:color w:val="000000"/>
          <w:sz w:val="20"/>
          <w:szCs w:val="20"/>
        </w:rPr>
        <w:t>February 10, 2022</w:t>
      </w:r>
    </w:p>
    <w:p w:rsidR="005533F8" w:rsidRPr="00470480" w:rsidRDefault="005533F8" w:rsidP="005533F8">
      <w:pPr>
        <w:pStyle w:val="NormalWeb"/>
        <w:jc w:val="both"/>
        <w:rPr>
          <w:rFonts w:ascii="Arial" w:hAnsi="Arial" w:cs="Arial"/>
          <w:color w:val="000000"/>
          <w:sz w:val="20"/>
          <w:szCs w:val="20"/>
        </w:rPr>
      </w:pPr>
      <w:r w:rsidRPr="00470480">
        <w:rPr>
          <w:rFonts w:ascii="Arial" w:hAnsi="Arial" w:cs="Arial"/>
          <w:color w:val="000000"/>
          <w:sz w:val="20"/>
          <w:szCs w:val="20"/>
        </w:rPr>
        <w:t>To,</w:t>
      </w:r>
    </w:p>
    <w:p w:rsidR="005533F8" w:rsidRPr="00470480" w:rsidRDefault="005533F8" w:rsidP="005533F8">
      <w:pPr>
        <w:pStyle w:val="NormalWeb"/>
        <w:jc w:val="both"/>
        <w:rPr>
          <w:rFonts w:ascii="Arial" w:hAnsi="Arial" w:cs="Arial"/>
          <w:color w:val="000000"/>
          <w:sz w:val="20"/>
          <w:szCs w:val="20"/>
        </w:rPr>
      </w:pPr>
      <w:r w:rsidRPr="00470480">
        <w:rPr>
          <w:rFonts w:ascii="Arial" w:hAnsi="Arial" w:cs="Arial"/>
          <w:color w:val="000000"/>
          <w:sz w:val="20"/>
          <w:szCs w:val="20"/>
        </w:rPr>
        <w:t>All Eligible Market Participants</w:t>
      </w:r>
    </w:p>
    <w:p w:rsidR="005533F8" w:rsidRPr="00470480" w:rsidRDefault="005533F8" w:rsidP="005533F8">
      <w:pPr>
        <w:pStyle w:val="NormalWeb"/>
        <w:jc w:val="both"/>
        <w:rPr>
          <w:rFonts w:ascii="Arial" w:hAnsi="Arial" w:cs="Arial"/>
          <w:color w:val="000000"/>
          <w:sz w:val="20"/>
          <w:szCs w:val="20"/>
        </w:rPr>
      </w:pPr>
      <w:r w:rsidRPr="00470480">
        <w:rPr>
          <w:rFonts w:ascii="Arial" w:hAnsi="Arial" w:cs="Arial"/>
          <w:color w:val="000000"/>
          <w:sz w:val="20"/>
          <w:szCs w:val="20"/>
        </w:rPr>
        <w:t>Madam / Sir,</w:t>
      </w:r>
    </w:p>
    <w:p w:rsidR="005533F8" w:rsidRPr="00470480" w:rsidRDefault="005533F8" w:rsidP="005533F8">
      <w:pPr>
        <w:pStyle w:val="head"/>
        <w:jc w:val="center"/>
        <w:rPr>
          <w:rFonts w:ascii="Arial" w:hAnsi="Arial" w:cs="Arial"/>
          <w:b/>
          <w:bCs/>
          <w:color w:val="000000"/>
          <w:sz w:val="20"/>
          <w:szCs w:val="20"/>
        </w:rPr>
      </w:pPr>
      <w:r w:rsidRPr="00470480">
        <w:rPr>
          <w:rFonts w:ascii="Arial" w:hAnsi="Arial" w:cs="Arial"/>
          <w:b/>
          <w:bCs/>
          <w:color w:val="000000"/>
          <w:sz w:val="20"/>
          <w:szCs w:val="20"/>
        </w:rPr>
        <w:t>Rupee Interest Rate Derivatives (Reserve Bank) Directions - Review</w:t>
      </w:r>
    </w:p>
    <w:p w:rsidR="005533F8" w:rsidRPr="00470480" w:rsidRDefault="005533F8" w:rsidP="005533F8">
      <w:pPr>
        <w:pStyle w:val="NormalWeb"/>
        <w:jc w:val="both"/>
        <w:rPr>
          <w:rFonts w:ascii="Arial" w:hAnsi="Arial" w:cs="Arial"/>
          <w:color w:val="000000"/>
          <w:sz w:val="20"/>
          <w:szCs w:val="20"/>
        </w:rPr>
      </w:pPr>
      <w:r w:rsidRPr="00470480">
        <w:rPr>
          <w:rFonts w:ascii="Arial" w:hAnsi="Arial" w:cs="Arial"/>
          <w:color w:val="000000"/>
          <w:sz w:val="20"/>
          <w:szCs w:val="20"/>
        </w:rPr>
        <w:t>Please refer to Paragraph 5 of the </w:t>
      </w:r>
      <w:hyperlink r:id="rId29" w:tgtFrame="_blank" w:history="1">
        <w:r w:rsidRPr="00470480">
          <w:rPr>
            <w:rStyle w:val="Hyperlink"/>
            <w:rFonts w:ascii="Arial" w:hAnsi="Arial" w:cs="Arial"/>
            <w:sz w:val="20"/>
            <w:szCs w:val="20"/>
          </w:rPr>
          <w:t>Statement on Developmental and Regulatory Policies</w:t>
        </w:r>
      </w:hyperlink>
      <w:r w:rsidRPr="00470480">
        <w:rPr>
          <w:rFonts w:ascii="Arial" w:hAnsi="Arial" w:cs="Arial"/>
          <w:color w:val="000000"/>
          <w:sz w:val="20"/>
          <w:szCs w:val="20"/>
        </w:rPr>
        <w:t>, issued as a part of the </w:t>
      </w:r>
      <w:hyperlink r:id="rId30" w:tgtFrame="_blank" w:history="1">
        <w:r w:rsidRPr="00470480">
          <w:rPr>
            <w:rStyle w:val="Hyperlink"/>
            <w:rFonts w:ascii="Arial" w:hAnsi="Arial" w:cs="Arial"/>
            <w:sz w:val="20"/>
            <w:szCs w:val="20"/>
          </w:rPr>
          <w:t>sixth Bi-monthly Monetary Policy Statement for 2021-22 dated February 10, 2022</w:t>
        </w:r>
      </w:hyperlink>
      <w:r w:rsidRPr="00470480">
        <w:rPr>
          <w:rFonts w:ascii="Arial" w:hAnsi="Arial" w:cs="Arial"/>
          <w:color w:val="000000"/>
          <w:sz w:val="20"/>
          <w:szCs w:val="20"/>
        </w:rPr>
        <w:t> regarding permitting banks in India to deal in foreign currency settled Overnight Indexed Swaps (OIS). Attention is also invited to the </w:t>
      </w:r>
      <w:hyperlink r:id="rId31" w:tgtFrame="_blank" w:history="1">
        <w:r w:rsidRPr="00470480">
          <w:rPr>
            <w:rStyle w:val="Hyperlink"/>
            <w:rFonts w:ascii="Arial" w:hAnsi="Arial" w:cs="Arial"/>
            <w:sz w:val="20"/>
            <w:szCs w:val="20"/>
          </w:rPr>
          <w:t>Rupee Interest Rate Derivatives (Reserve Bank) Directions, 2019 dated June 26, 2019</w:t>
        </w:r>
      </w:hyperlink>
      <w:r w:rsidRPr="00470480">
        <w:rPr>
          <w:rFonts w:ascii="Arial" w:hAnsi="Arial" w:cs="Arial"/>
          <w:color w:val="000000"/>
          <w:sz w:val="20"/>
          <w:szCs w:val="20"/>
        </w:rPr>
        <w:t> (hereinafter, Directions).</w:t>
      </w:r>
    </w:p>
    <w:p w:rsidR="005533F8" w:rsidRPr="00470480" w:rsidRDefault="005533F8" w:rsidP="005533F8">
      <w:pPr>
        <w:pStyle w:val="NormalWeb"/>
        <w:jc w:val="both"/>
        <w:rPr>
          <w:rFonts w:ascii="Arial" w:hAnsi="Arial" w:cs="Arial"/>
          <w:color w:val="000000"/>
          <w:sz w:val="20"/>
          <w:szCs w:val="20"/>
        </w:rPr>
      </w:pPr>
      <w:r w:rsidRPr="00470480">
        <w:rPr>
          <w:rFonts w:ascii="Arial" w:hAnsi="Arial" w:cs="Arial"/>
          <w:color w:val="000000"/>
          <w:sz w:val="20"/>
          <w:szCs w:val="20"/>
        </w:rPr>
        <w:t xml:space="preserve">2. Banks in India having Authorised Dealer Category-I (AD Cat-I) license under FEMA, 1999, shall be eligible to offer Foreign Currency Settled OIS (FCS-OIS) based on the Overnight Mumbai Interbank Outright Rate (MIBOR) benchmark published by Financial Benchmarks India </w:t>
      </w:r>
      <w:proofErr w:type="spellStart"/>
      <w:r w:rsidRPr="00470480">
        <w:rPr>
          <w:rFonts w:ascii="Arial" w:hAnsi="Arial" w:cs="Arial"/>
          <w:color w:val="000000"/>
          <w:sz w:val="20"/>
          <w:szCs w:val="20"/>
        </w:rPr>
        <w:t>Pvt.</w:t>
      </w:r>
      <w:proofErr w:type="spellEnd"/>
      <w:r w:rsidRPr="00470480">
        <w:rPr>
          <w:rFonts w:ascii="Arial" w:hAnsi="Arial" w:cs="Arial"/>
          <w:color w:val="000000"/>
          <w:sz w:val="20"/>
          <w:szCs w:val="20"/>
        </w:rPr>
        <w:t xml:space="preserve"> Ltd. (FBIL) to persons not resident in India as well as to other AD Cat-I banks. Banks can undertake these transactions through their branches in India, through their International Financial Services Centre (IFSC) Banking Units (IBUs) or through their foreign branches (in case of foreign banks operating in India, through any branch of the parent bank). Banks may undertake FCS-OIS transactions beyond onshore market hours.</w:t>
      </w:r>
    </w:p>
    <w:p w:rsidR="005533F8" w:rsidRPr="00470480" w:rsidRDefault="005533F8" w:rsidP="005533F8">
      <w:pPr>
        <w:pStyle w:val="NormalWeb"/>
        <w:jc w:val="both"/>
        <w:rPr>
          <w:rFonts w:ascii="Arial" w:hAnsi="Arial" w:cs="Arial"/>
          <w:color w:val="000000"/>
          <w:sz w:val="20"/>
          <w:szCs w:val="20"/>
        </w:rPr>
      </w:pPr>
      <w:r w:rsidRPr="00470480">
        <w:rPr>
          <w:rFonts w:ascii="Arial" w:hAnsi="Arial" w:cs="Arial"/>
          <w:color w:val="000000"/>
          <w:sz w:val="20"/>
          <w:szCs w:val="20"/>
        </w:rPr>
        <w:t>3. The instructions shall be applicable with immediate effect. The </w:t>
      </w:r>
      <w:hyperlink r:id="rId32" w:tgtFrame="_blank" w:history="1">
        <w:r w:rsidRPr="00470480">
          <w:rPr>
            <w:rStyle w:val="Hyperlink"/>
            <w:rFonts w:ascii="Arial" w:hAnsi="Arial" w:cs="Arial"/>
            <w:sz w:val="20"/>
            <w:szCs w:val="20"/>
          </w:rPr>
          <w:t>updated Directions</w:t>
        </w:r>
      </w:hyperlink>
      <w:r w:rsidRPr="00470480">
        <w:rPr>
          <w:rFonts w:ascii="Arial" w:hAnsi="Arial" w:cs="Arial"/>
          <w:color w:val="000000"/>
          <w:sz w:val="20"/>
          <w:szCs w:val="20"/>
        </w:rPr>
        <w:t> are attached.</w:t>
      </w:r>
    </w:p>
    <w:p w:rsidR="005533F8" w:rsidRPr="00470480" w:rsidRDefault="005533F8" w:rsidP="005533F8">
      <w:pPr>
        <w:pStyle w:val="NormalWeb"/>
        <w:jc w:val="both"/>
        <w:rPr>
          <w:rFonts w:ascii="Arial" w:hAnsi="Arial" w:cs="Arial"/>
          <w:color w:val="000000"/>
          <w:sz w:val="20"/>
          <w:szCs w:val="20"/>
        </w:rPr>
      </w:pPr>
      <w:r w:rsidRPr="00470480">
        <w:rPr>
          <w:rFonts w:ascii="Arial" w:hAnsi="Arial" w:cs="Arial"/>
          <w:color w:val="000000"/>
          <w:sz w:val="20"/>
          <w:szCs w:val="20"/>
        </w:rPr>
        <w:t>4. The instructions contained in this circular have been issued in exercise of the powers conferred under section 45W of the Reserve Bank of India Act, 1934 read with section 45U of the Act and of all the powers enabling it in this behalf. A reference is also invited to the Foreign Exchange Management (Permissible Capital Account Transactions) Regulations, 2000 (</w:t>
      </w:r>
      <w:hyperlink r:id="rId33" w:tgtFrame="_blank" w:history="1">
        <w:r w:rsidRPr="00470480">
          <w:rPr>
            <w:rStyle w:val="Hyperlink"/>
            <w:rFonts w:ascii="Arial" w:hAnsi="Arial" w:cs="Arial"/>
            <w:sz w:val="20"/>
            <w:szCs w:val="20"/>
          </w:rPr>
          <w:t>Notification No. FEMA 1/2000-RB dated May 03, 2000</w:t>
        </w:r>
      </w:hyperlink>
      <w:r w:rsidRPr="00470480">
        <w:rPr>
          <w:rFonts w:ascii="Arial" w:hAnsi="Arial" w:cs="Arial"/>
          <w:color w:val="000000"/>
          <w:sz w:val="20"/>
          <w:szCs w:val="20"/>
        </w:rPr>
        <w:t>) and Foreign Exchange Management (Debt Instruments) Regulations, 2019 (</w:t>
      </w:r>
      <w:hyperlink r:id="rId34" w:tgtFrame="_blank" w:history="1">
        <w:r w:rsidRPr="00470480">
          <w:rPr>
            <w:rStyle w:val="Hyperlink"/>
            <w:rFonts w:ascii="Arial" w:hAnsi="Arial" w:cs="Arial"/>
            <w:sz w:val="20"/>
            <w:szCs w:val="20"/>
          </w:rPr>
          <w:t>Notification No. FEMA 396/2019-RB dated October 17, 2019</w:t>
        </w:r>
      </w:hyperlink>
      <w:r w:rsidRPr="00470480">
        <w:rPr>
          <w:rFonts w:ascii="Arial" w:hAnsi="Arial" w:cs="Arial"/>
          <w:color w:val="000000"/>
          <w:sz w:val="20"/>
          <w:szCs w:val="20"/>
        </w:rPr>
        <w:t>), as amended from time to time.</w:t>
      </w:r>
    </w:p>
    <w:p w:rsidR="005533F8" w:rsidRPr="00470480" w:rsidRDefault="005533F8" w:rsidP="005533F8">
      <w:pPr>
        <w:pStyle w:val="NormalWeb"/>
        <w:jc w:val="right"/>
        <w:rPr>
          <w:rFonts w:ascii="Arial" w:hAnsi="Arial" w:cs="Arial"/>
          <w:color w:val="000000"/>
          <w:sz w:val="20"/>
          <w:szCs w:val="20"/>
        </w:rPr>
      </w:pPr>
      <w:r w:rsidRPr="00470480">
        <w:rPr>
          <w:rFonts w:ascii="Arial" w:hAnsi="Arial" w:cs="Arial"/>
          <w:color w:val="000000"/>
          <w:sz w:val="20"/>
          <w:szCs w:val="20"/>
        </w:rPr>
        <w:t>Yours faithfully,</w:t>
      </w:r>
    </w:p>
    <w:p w:rsidR="005533F8" w:rsidRPr="00470480" w:rsidRDefault="005533F8" w:rsidP="005533F8">
      <w:pPr>
        <w:pStyle w:val="NormalWeb"/>
        <w:jc w:val="right"/>
        <w:rPr>
          <w:rFonts w:ascii="Arial" w:hAnsi="Arial" w:cs="Arial"/>
          <w:color w:val="000000"/>
          <w:sz w:val="20"/>
          <w:szCs w:val="20"/>
        </w:rPr>
      </w:pPr>
      <w:r w:rsidRPr="00470480">
        <w:rPr>
          <w:rFonts w:ascii="Arial" w:hAnsi="Arial" w:cs="Arial"/>
          <w:color w:val="000000"/>
          <w:sz w:val="20"/>
          <w:szCs w:val="20"/>
        </w:rPr>
        <w:t xml:space="preserve">(Dimple </w:t>
      </w:r>
      <w:proofErr w:type="spellStart"/>
      <w:r w:rsidRPr="00470480">
        <w:rPr>
          <w:rFonts w:ascii="Arial" w:hAnsi="Arial" w:cs="Arial"/>
          <w:color w:val="000000"/>
          <w:sz w:val="20"/>
          <w:szCs w:val="20"/>
        </w:rPr>
        <w:t>Bhandia</w:t>
      </w:r>
      <w:proofErr w:type="spellEnd"/>
      <w:r w:rsidRPr="00470480">
        <w:rPr>
          <w:rFonts w:ascii="Arial" w:hAnsi="Arial" w:cs="Arial"/>
          <w:color w:val="000000"/>
          <w:sz w:val="20"/>
          <w:szCs w:val="20"/>
        </w:rPr>
        <w:t>)</w:t>
      </w:r>
      <w:r w:rsidRPr="00470480">
        <w:rPr>
          <w:rFonts w:ascii="Arial" w:hAnsi="Arial" w:cs="Arial"/>
          <w:color w:val="000000"/>
          <w:sz w:val="20"/>
          <w:szCs w:val="20"/>
        </w:rPr>
        <w:br/>
        <w:t>Chief General Manager</w:t>
      </w:r>
    </w:p>
    <w:p w:rsidR="005533F8" w:rsidRPr="00470480" w:rsidRDefault="005533F8" w:rsidP="005533F8">
      <w:pPr>
        <w:spacing w:after="0"/>
        <w:jc w:val="both"/>
        <w:rPr>
          <w:rFonts w:ascii="Arial" w:hAnsi="Arial" w:cs="Arial"/>
          <w:sz w:val="20"/>
          <w:szCs w:val="20"/>
        </w:rPr>
      </w:pPr>
      <w:r w:rsidRPr="00470480">
        <w:rPr>
          <w:rFonts w:ascii="Arial" w:hAnsi="Arial" w:cs="Arial"/>
          <w:sz w:val="20"/>
          <w:szCs w:val="20"/>
        </w:rPr>
        <w:t xml:space="preserve">Reference Link: </w:t>
      </w:r>
      <w:hyperlink r:id="rId35" w:history="1">
        <w:r w:rsidRPr="00470480">
          <w:rPr>
            <w:rStyle w:val="Hyperlink"/>
            <w:rFonts w:ascii="Arial" w:hAnsi="Arial" w:cs="Arial"/>
            <w:sz w:val="20"/>
            <w:szCs w:val="20"/>
          </w:rPr>
          <w:t>https://www.rbi.org.in/Scripts/NotificationUser.aspx?Id=12229&amp;Mode=0</w:t>
        </w:r>
      </w:hyperlink>
    </w:p>
    <w:p w:rsidR="005533F8" w:rsidRPr="00470480" w:rsidRDefault="005533F8" w:rsidP="005533F8">
      <w:pPr>
        <w:spacing w:after="0"/>
        <w:jc w:val="both"/>
        <w:rPr>
          <w:rFonts w:ascii="Arial" w:hAnsi="Arial" w:cs="Arial"/>
          <w:sz w:val="20"/>
          <w:szCs w:val="20"/>
        </w:rPr>
      </w:pPr>
    </w:p>
    <w:p w:rsidR="005533F8" w:rsidRPr="00470480" w:rsidRDefault="005533F8" w:rsidP="005533F8">
      <w:pPr>
        <w:spacing w:after="0"/>
        <w:jc w:val="both"/>
        <w:rPr>
          <w:rFonts w:ascii="Arial" w:hAnsi="Arial" w:cs="Arial"/>
          <w:sz w:val="20"/>
          <w:szCs w:val="20"/>
        </w:rPr>
      </w:pPr>
    </w:p>
    <w:p w:rsidR="005533F8" w:rsidRPr="00470480" w:rsidRDefault="005533F8" w:rsidP="005533F8">
      <w:pPr>
        <w:spacing w:after="0"/>
        <w:jc w:val="both"/>
        <w:rPr>
          <w:rFonts w:ascii="Arial" w:hAnsi="Arial" w:cs="Arial"/>
          <w:sz w:val="20"/>
          <w:szCs w:val="20"/>
        </w:rPr>
      </w:pPr>
    </w:p>
    <w:p w:rsidR="005533F8" w:rsidRPr="00470480" w:rsidRDefault="005533F8" w:rsidP="005533F8">
      <w:pPr>
        <w:spacing w:after="0"/>
        <w:jc w:val="both"/>
        <w:rPr>
          <w:rFonts w:ascii="Arial" w:hAnsi="Arial" w:cs="Arial"/>
          <w:sz w:val="20"/>
          <w:szCs w:val="20"/>
        </w:rPr>
      </w:pPr>
    </w:p>
    <w:p w:rsidR="005533F8" w:rsidRPr="00470480" w:rsidRDefault="005533F8" w:rsidP="005533F8">
      <w:pPr>
        <w:spacing w:after="0"/>
        <w:jc w:val="both"/>
        <w:rPr>
          <w:rFonts w:ascii="Arial" w:hAnsi="Arial" w:cs="Arial"/>
          <w:sz w:val="20"/>
          <w:szCs w:val="20"/>
        </w:rPr>
      </w:pPr>
    </w:p>
    <w:p w:rsidR="005533F8" w:rsidRPr="00470480" w:rsidRDefault="005533F8" w:rsidP="005533F8">
      <w:pPr>
        <w:spacing w:after="0"/>
        <w:jc w:val="both"/>
        <w:rPr>
          <w:rFonts w:ascii="Arial" w:hAnsi="Arial" w:cs="Arial"/>
          <w:sz w:val="20"/>
          <w:szCs w:val="20"/>
        </w:rPr>
      </w:pPr>
    </w:p>
    <w:p w:rsidR="005533F8" w:rsidRPr="00470480" w:rsidRDefault="005533F8" w:rsidP="005533F8">
      <w:pPr>
        <w:spacing w:after="0"/>
        <w:jc w:val="both"/>
        <w:rPr>
          <w:rFonts w:ascii="Arial" w:hAnsi="Arial" w:cs="Arial"/>
          <w:sz w:val="20"/>
          <w:szCs w:val="20"/>
        </w:rPr>
      </w:pPr>
    </w:p>
    <w:p w:rsidR="005533F8" w:rsidRPr="00470480" w:rsidRDefault="005533F8" w:rsidP="005533F8">
      <w:pPr>
        <w:spacing w:after="0"/>
        <w:jc w:val="both"/>
        <w:rPr>
          <w:rFonts w:ascii="Arial" w:hAnsi="Arial" w:cs="Arial"/>
          <w:sz w:val="20"/>
          <w:szCs w:val="20"/>
        </w:rPr>
      </w:pPr>
    </w:p>
    <w:p w:rsidR="005533F8" w:rsidRPr="00470480" w:rsidRDefault="005533F8" w:rsidP="005533F8">
      <w:pPr>
        <w:spacing w:after="0"/>
        <w:jc w:val="both"/>
        <w:rPr>
          <w:rFonts w:ascii="Arial" w:hAnsi="Arial" w:cs="Arial"/>
          <w:sz w:val="20"/>
          <w:szCs w:val="20"/>
        </w:rPr>
      </w:pPr>
    </w:p>
    <w:p w:rsidR="005533F8" w:rsidRPr="00470480" w:rsidRDefault="005533F8" w:rsidP="005533F8">
      <w:pPr>
        <w:spacing w:after="0"/>
        <w:jc w:val="both"/>
        <w:rPr>
          <w:rFonts w:ascii="Arial" w:hAnsi="Arial" w:cs="Arial"/>
          <w:b/>
          <w:bCs/>
          <w:color w:val="000000"/>
          <w:sz w:val="20"/>
          <w:szCs w:val="20"/>
        </w:rPr>
      </w:pPr>
    </w:p>
    <w:p w:rsidR="005533F8" w:rsidRDefault="005533F8" w:rsidP="005533F8">
      <w:pPr>
        <w:spacing w:after="0"/>
        <w:jc w:val="both"/>
        <w:rPr>
          <w:rFonts w:ascii="Arial" w:hAnsi="Arial" w:cs="Arial"/>
          <w:b/>
          <w:bCs/>
          <w:color w:val="000000"/>
          <w:sz w:val="20"/>
          <w:szCs w:val="20"/>
        </w:rPr>
      </w:pPr>
    </w:p>
    <w:p w:rsidR="005533F8" w:rsidRPr="00470480" w:rsidRDefault="005533F8" w:rsidP="005533F8">
      <w:pPr>
        <w:spacing w:after="0"/>
        <w:jc w:val="both"/>
        <w:rPr>
          <w:rFonts w:ascii="Arial" w:hAnsi="Arial" w:cs="Arial"/>
          <w:b/>
          <w:bCs/>
          <w:color w:val="000000"/>
          <w:sz w:val="20"/>
          <w:szCs w:val="20"/>
        </w:rPr>
      </w:pPr>
      <w:r w:rsidRPr="00470480">
        <w:rPr>
          <w:rFonts w:ascii="Arial" w:hAnsi="Arial" w:cs="Arial"/>
          <w:b/>
          <w:bCs/>
          <w:color w:val="000000"/>
          <w:sz w:val="20"/>
          <w:szCs w:val="20"/>
        </w:rPr>
        <w:lastRenderedPageBreak/>
        <w:t>‘Voluntary Retention Route’ (VRR) for Foreign Portfolio Investors (FPIs) investment in debt</w:t>
      </w:r>
    </w:p>
    <w:p w:rsidR="005533F8" w:rsidRPr="00470480" w:rsidRDefault="005533F8" w:rsidP="005533F8">
      <w:pPr>
        <w:spacing w:after="0"/>
        <w:jc w:val="both"/>
        <w:rPr>
          <w:rFonts w:ascii="Arial" w:hAnsi="Arial" w:cs="Arial"/>
          <w:b/>
          <w:bCs/>
          <w:color w:val="000000"/>
          <w:sz w:val="20"/>
          <w:szCs w:val="20"/>
        </w:rPr>
      </w:pPr>
    </w:p>
    <w:p w:rsidR="005533F8" w:rsidRPr="00470480" w:rsidRDefault="005533F8" w:rsidP="005533F8">
      <w:pPr>
        <w:pStyle w:val="NormalWeb"/>
        <w:jc w:val="both"/>
        <w:rPr>
          <w:rFonts w:ascii="Arial" w:hAnsi="Arial" w:cs="Arial"/>
          <w:color w:val="000000"/>
          <w:sz w:val="20"/>
          <w:szCs w:val="20"/>
        </w:rPr>
      </w:pPr>
      <w:r w:rsidRPr="00470480">
        <w:rPr>
          <w:rFonts w:ascii="Arial" w:hAnsi="Arial" w:cs="Arial"/>
          <w:color w:val="000000"/>
          <w:sz w:val="20"/>
          <w:szCs w:val="20"/>
        </w:rPr>
        <w:t>RBI/2021-22/156</w:t>
      </w:r>
      <w:r w:rsidRPr="00470480">
        <w:rPr>
          <w:rFonts w:ascii="Arial" w:hAnsi="Arial" w:cs="Arial"/>
          <w:color w:val="000000"/>
          <w:sz w:val="20"/>
          <w:szCs w:val="20"/>
        </w:rPr>
        <w:br/>
        <w:t>A.P. (DIR Series) Circular No. 22</w:t>
      </w:r>
    </w:p>
    <w:p w:rsidR="005533F8" w:rsidRPr="00470480" w:rsidRDefault="005533F8" w:rsidP="005533F8">
      <w:pPr>
        <w:pStyle w:val="NormalWeb"/>
        <w:jc w:val="right"/>
        <w:rPr>
          <w:rFonts w:ascii="Arial" w:hAnsi="Arial" w:cs="Arial"/>
          <w:color w:val="000000"/>
          <w:sz w:val="20"/>
          <w:szCs w:val="20"/>
        </w:rPr>
      </w:pPr>
      <w:r w:rsidRPr="00470480">
        <w:rPr>
          <w:rFonts w:ascii="Arial" w:hAnsi="Arial" w:cs="Arial"/>
          <w:color w:val="000000"/>
          <w:sz w:val="20"/>
          <w:szCs w:val="20"/>
        </w:rPr>
        <w:t>February 10, 2022</w:t>
      </w:r>
    </w:p>
    <w:p w:rsidR="005533F8" w:rsidRPr="00470480" w:rsidRDefault="005533F8" w:rsidP="005533F8">
      <w:pPr>
        <w:pStyle w:val="NormalWeb"/>
        <w:jc w:val="both"/>
        <w:rPr>
          <w:rFonts w:ascii="Arial" w:hAnsi="Arial" w:cs="Arial"/>
          <w:color w:val="000000"/>
          <w:sz w:val="20"/>
          <w:szCs w:val="20"/>
        </w:rPr>
      </w:pPr>
      <w:r w:rsidRPr="00470480">
        <w:rPr>
          <w:rFonts w:ascii="Arial" w:hAnsi="Arial" w:cs="Arial"/>
          <w:color w:val="000000"/>
          <w:sz w:val="20"/>
          <w:szCs w:val="20"/>
        </w:rPr>
        <w:t>To</w:t>
      </w:r>
    </w:p>
    <w:p w:rsidR="005533F8" w:rsidRPr="00470480" w:rsidRDefault="005533F8" w:rsidP="005533F8">
      <w:pPr>
        <w:pStyle w:val="NormalWeb"/>
        <w:jc w:val="both"/>
        <w:rPr>
          <w:rFonts w:ascii="Arial" w:hAnsi="Arial" w:cs="Arial"/>
          <w:color w:val="000000"/>
          <w:sz w:val="20"/>
          <w:szCs w:val="20"/>
        </w:rPr>
      </w:pPr>
      <w:r w:rsidRPr="00470480">
        <w:rPr>
          <w:rFonts w:ascii="Arial" w:hAnsi="Arial" w:cs="Arial"/>
          <w:color w:val="000000"/>
          <w:sz w:val="20"/>
          <w:szCs w:val="20"/>
        </w:rPr>
        <w:t>All Authorized Persons</w:t>
      </w:r>
    </w:p>
    <w:p w:rsidR="005533F8" w:rsidRPr="00470480" w:rsidRDefault="005533F8" w:rsidP="005533F8">
      <w:pPr>
        <w:pStyle w:val="NormalWeb"/>
        <w:jc w:val="both"/>
        <w:rPr>
          <w:rFonts w:ascii="Arial" w:hAnsi="Arial" w:cs="Arial"/>
          <w:color w:val="000000"/>
          <w:sz w:val="20"/>
          <w:szCs w:val="20"/>
        </w:rPr>
      </w:pPr>
      <w:r w:rsidRPr="00470480">
        <w:rPr>
          <w:rFonts w:ascii="Arial" w:hAnsi="Arial" w:cs="Arial"/>
          <w:color w:val="000000"/>
          <w:sz w:val="20"/>
          <w:szCs w:val="20"/>
        </w:rPr>
        <w:t>Madam / Sir</w:t>
      </w:r>
    </w:p>
    <w:p w:rsidR="005533F8" w:rsidRPr="00470480" w:rsidRDefault="005533F8" w:rsidP="005533F8">
      <w:pPr>
        <w:pStyle w:val="head"/>
        <w:jc w:val="center"/>
        <w:rPr>
          <w:rFonts w:ascii="Arial" w:hAnsi="Arial" w:cs="Arial"/>
          <w:b/>
          <w:bCs/>
          <w:color w:val="000000"/>
          <w:sz w:val="20"/>
          <w:szCs w:val="20"/>
        </w:rPr>
      </w:pPr>
      <w:r w:rsidRPr="00470480">
        <w:rPr>
          <w:rFonts w:ascii="Arial" w:hAnsi="Arial" w:cs="Arial"/>
          <w:b/>
          <w:bCs/>
          <w:color w:val="000000"/>
          <w:sz w:val="20"/>
          <w:szCs w:val="20"/>
        </w:rPr>
        <w:t>‘Voluntary Retention Route’ (VRR) for Foreign Portfolio Investors (FPIs) investment in debt</w:t>
      </w:r>
    </w:p>
    <w:p w:rsidR="005533F8" w:rsidRPr="00470480" w:rsidRDefault="005533F8" w:rsidP="005533F8">
      <w:pPr>
        <w:pStyle w:val="NormalWeb"/>
        <w:jc w:val="both"/>
        <w:rPr>
          <w:rFonts w:ascii="Arial" w:hAnsi="Arial" w:cs="Arial"/>
          <w:color w:val="000000"/>
          <w:sz w:val="20"/>
          <w:szCs w:val="20"/>
        </w:rPr>
      </w:pPr>
      <w:r w:rsidRPr="00470480">
        <w:rPr>
          <w:rFonts w:ascii="Arial" w:hAnsi="Arial" w:cs="Arial"/>
          <w:color w:val="000000"/>
          <w:sz w:val="20"/>
          <w:szCs w:val="20"/>
        </w:rPr>
        <w:t>Please refer to paragraph 3 of the </w:t>
      </w:r>
      <w:hyperlink r:id="rId36" w:tgtFrame="_blank" w:history="1">
        <w:r w:rsidRPr="00470480">
          <w:rPr>
            <w:rStyle w:val="Hyperlink"/>
            <w:rFonts w:ascii="Arial" w:hAnsi="Arial" w:cs="Arial"/>
            <w:sz w:val="20"/>
            <w:szCs w:val="20"/>
          </w:rPr>
          <w:t>Statement on Developmental and Regulatory Policies dated February 10, 2022</w:t>
        </w:r>
      </w:hyperlink>
      <w:r w:rsidRPr="00470480">
        <w:rPr>
          <w:rFonts w:ascii="Arial" w:hAnsi="Arial" w:cs="Arial"/>
          <w:color w:val="000000"/>
          <w:sz w:val="20"/>
          <w:szCs w:val="20"/>
        </w:rPr>
        <w:t> regarding enhancement of the investment limit under the Voluntary Retention Route (VRR).</w:t>
      </w:r>
    </w:p>
    <w:p w:rsidR="005533F8" w:rsidRPr="00470480" w:rsidRDefault="005533F8" w:rsidP="005533F8">
      <w:pPr>
        <w:pStyle w:val="NormalWeb"/>
        <w:jc w:val="both"/>
        <w:rPr>
          <w:rFonts w:ascii="Arial" w:hAnsi="Arial" w:cs="Arial"/>
          <w:color w:val="000000"/>
          <w:sz w:val="20"/>
          <w:szCs w:val="20"/>
        </w:rPr>
      </w:pPr>
      <w:r w:rsidRPr="00470480">
        <w:rPr>
          <w:rFonts w:ascii="Arial" w:hAnsi="Arial" w:cs="Arial"/>
          <w:color w:val="000000"/>
          <w:sz w:val="20"/>
          <w:szCs w:val="20"/>
        </w:rPr>
        <w:t>2. Attention of Authorised Dealer Category-I (AD Category-I) banks is invited to the following regulations, as amended from time to time, and the relevant Directions issued under these regulations.</w:t>
      </w:r>
    </w:p>
    <w:p w:rsidR="005533F8" w:rsidRPr="00470480" w:rsidRDefault="005533F8" w:rsidP="005533F8">
      <w:pPr>
        <w:pStyle w:val="NormalWeb"/>
        <w:numPr>
          <w:ilvl w:val="0"/>
          <w:numId w:val="4"/>
        </w:numPr>
        <w:ind w:left="0"/>
        <w:jc w:val="both"/>
        <w:rPr>
          <w:rFonts w:ascii="Arial" w:hAnsi="Arial" w:cs="Arial"/>
          <w:color w:val="000000"/>
          <w:sz w:val="20"/>
          <w:szCs w:val="20"/>
        </w:rPr>
      </w:pPr>
      <w:r w:rsidRPr="00470480">
        <w:rPr>
          <w:rFonts w:ascii="Arial" w:hAnsi="Arial" w:cs="Arial"/>
          <w:color w:val="000000"/>
          <w:sz w:val="20"/>
          <w:szCs w:val="20"/>
        </w:rPr>
        <w:t>Foreign Exchange Management (Permissible Capital Accounts Transactions) Regulations, 2000 notified vide </w:t>
      </w:r>
      <w:hyperlink r:id="rId37" w:tgtFrame="_blank" w:history="1">
        <w:r w:rsidRPr="00470480">
          <w:rPr>
            <w:rStyle w:val="Hyperlink"/>
            <w:rFonts w:ascii="Arial" w:hAnsi="Arial" w:cs="Arial"/>
            <w:sz w:val="20"/>
            <w:szCs w:val="20"/>
          </w:rPr>
          <w:t>Notification No. FEMA 1/2000-RB dated May 03, 2000</w:t>
        </w:r>
      </w:hyperlink>
      <w:r w:rsidRPr="00470480">
        <w:rPr>
          <w:rFonts w:ascii="Arial" w:hAnsi="Arial" w:cs="Arial"/>
          <w:color w:val="000000"/>
          <w:sz w:val="20"/>
          <w:szCs w:val="20"/>
        </w:rPr>
        <w:t>;</w:t>
      </w:r>
    </w:p>
    <w:p w:rsidR="005533F8" w:rsidRPr="00470480" w:rsidRDefault="005533F8" w:rsidP="005533F8">
      <w:pPr>
        <w:pStyle w:val="NormalWeb"/>
        <w:numPr>
          <w:ilvl w:val="0"/>
          <w:numId w:val="4"/>
        </w:numPr>
        <w:ind w:left="0"/>
        <w:jc w:val="both"/>
        <w:rPr>
          <w:rFonts w:ascii="Arial" w:hAnsi="Arial" w:cs="Arial"/>
          <w:color w:val="000000"/>
          <w:sz w:val="20"/>
          <w:szCs w:val="20"/>
        </w:rPr>
      </w:pPr>
      <w:r w:rsidRPr="00470480">
        <w:rPr>
          <w:rFonts w:ascii="Arial" w:hAnsi="Arial" w:cs="Arial"/>
          <w:color w:val="000000"/>
          <w:sz w:val="20"/>
          <w:szCs w:val="20"/>
        </w:rPr>
        <w:t>Foreign Exchange Management (Borrowing and Lending) Regulations, 2018 notified vide </w:t>
      </w:r>
      <w:hyperlink r:id="rId38" w:tgtFrame="_blank" w:history="1">
        <w:r w:rsidRPr="00470480">
          <w:rPr>
            <w:rStyle w:val="Hyperlink"/>
            <w:rFonts w:ascii="Arial" w:hAnsi="Arial" w:cs="Arial"/>
            <w:sz w:val="20"/>
            <w:szCs w:val="20"/>
          </w:rPr>
          <w:t>Notification No. FEMA 3(R)/2018-RB dated December 17, 2018</w:t>
        </w:r>
      </w:hyperlink>
      <w:r w:rsidRPr="00470480">
        <w:rPr>
          <w:rFonts w:ascii="Arial" w:hAnsi="Arial" w:cs="Arial"/>
          <w:color w:val="000000"/>
          <w:sz w:val="20"/>
          <w:szCs w:val="20"/>
        </w:rPr>
        <w:t>;</w:t>
      </w:r>
    </w:p>
    <w:p w:rsidR="005533F8" w:rsidRPr="00470480" w:rsidRDefault="005533F8" w:rsidP="005533F8">
      <w:pPr>
        <w:pStyle w:val="NormalWeb"/>
        <w:numPr>
          <w:ilvl w:val="0"/>
          <w:numId w:val="4"/>
        </w:numPr>
        <w:ind w:left="0"/>
        <w:jc w:val="both"/>
        <w:rPr>
          <w:rFonts w:ascii="Arial" w:hAnsi="Arial" w:cs="Arial"/>
          <w:color w:val="000000"/>
          <w:sz w:val="20"/>
          <w:szCs w:val="20"/>
        </w:rPr>
      </w:pPr>
      <w:r w:rsidRPr="00470480">
        <w:rPr>
          <w:rFonts w:ascii="Arial" w:hAnsi="Arial" w:cs="Arial"/>
          <w:color w:val="000000"/>
          <w:sz w:val="20"/>
          <w:szCs w:val="20"/>
        </w:rPr>
        <w:t>Foreign Exchange Management (Debt Instruments) Regulations, 2019 notified vide </w:t>
      </w:r>
      <w:hyperlink r:id="rId39" w:tgtFrame="_blank" w:history="1">
        <w:r w:rsidRPr="00470480">
          <w:rPr>
            <w:rStyle w:val="Hyperlink"/>
            <w:rFonts w:ascii="Arial" w:hAnsi="Arial" w:cs="Arial"/>
            <w:sz w:val="20"/>
            <w:szCs w:val="20"/>
          </w:rPr>
          <w:t>Notification No. FEMA. 396/2019-RB dated October 17, 2019</w:t>
        </w:r>
      </w:hyperlink>
      <w:r w:rsidRPr="00470480">
        <w:rPr>
          <w:rFonts w:ascii="Arial" w:hAnsi="Arial" w:cs="Arial"/>
          <w:color w:val="000000"/>
          <w:sz w:val="20"/>
          <w:szCs w:val="20"/>
        </w:rPr>
        <w:t>; and</w:t>
      </w:r>
    </w:p>
    <w:p w:rsidR="005533F8" w:rsidRPr="00470480" w:rsidRDefault="005533F8" w:rsidP="005533F8">
      <w:pPr>
        <w:pStyle w:val="NormalWeb"/>
        <w:numPr>
          <w:ilvl w:val="0"/>
          <w:numId w:val="4"/>
        </w:numPr>
        <w:ind w:left="0"/>
        <w:jc w:val="both"/>
        <w:rPr>
          <w:rFonts w:ascii="Arial" w:hAnsi="Arial" w:cs="Arial"/>
          <w:color w:val="000000"/>
          <w:sz w:val="20"/>
          <w:szCs w:val="20"/>
        </w:rPr>
      </w:pPr>
      <w:r w:rsidRPr="00470480">
        <w:rPr>
          <w:rFonts w:ascii="Arial" w:hAnsi="Arial" w:cs="Arial"/>
          <w:color w:val="000000"/>
          <w:sz w:val="20"/>
          <w:szCs w:val="20"/>
        </w:rPr>
        <w:t>Foreign Exchange Management (Foreign Exchange Derivative Contracts) Regulations, 2000 notified vide </w:t>
      </w:r>
      <w:hyperlink r:id="rId40" w:tgtFrame="_blank" w:history="1">
        <w:r w:rsidRPr="00470480">
          <w:rPr>
            <w:rStyle w:val="Hyperlink"/>
            <w:rFonts w:ascii="Arial" w:hAnsi="Arial" w:cs="Arial"/>
            <w:sz w:val="20"/>
            <w:szCs w:val="20"/>
          </w:rPr>
          <w:t>Notification No. FEMA 25/RB – 2000 dated May 03, 2000</w:t>
        </w:r>
      </w:hyperlink>
      <w:r w:rsidRPr="00470480">
        <w:rPr>
          <w:rFonts w:ascii="Arial" w:hAnsi="Arial" w:cs="Arial"/>
          <w:color w:val="000000"/>
          <w:sz w:val="20"/>
          <w:szCs w:val="20"/>
        </w:rPr>
        <w:t>.</w:t>
      </w:r>
    </w:p>
    <w:p w:rsidR="005533F8" w:rsidRPr="00470480" w:rsidRDefault="005533F8" w:rsidP="005533F8">
      <w:pPr>
        <w:pStyle w:val="NormalWeb"/>
        <w:jc w:val="both"/>
        <w:rPr>
          <w:rFonts w:ascii="Arial" w:hAnsi="Arial" w:cs="Arial"/>
          <w:color w:val="000000"/>
          <w:sz w:val="20"/>
          <w:szCs w:val="20"/>
        </w:rPr>
      </w:pPr>
      <w:r w:rsidRPr="00470480">
        <w:rPr>
          <w:rFonts w:ascii="Arial" w:hAnsi="Arial" w:cs="Arial"/>
          <w:color w:val="000000"/>
          <w:sz w:val="20"/>
          <w:szCs w:val="20"/>
        </w:rPr>
        <w:t>3. AD Category – I banks may also refer to </w:t>
      </w:r>
      <w:hyperlink r:id="rId41" w:tgtFrame="_blank" w:history="1">
        <w:r w:rsidRPr="00470480">
          <w:rPr>
            <w:rStyle w:val="Hyperlink"/>
            <w:rFonts w:ascii="Arial" w:hAnsi="Arial" w:cs="Arial"/>
            <w:sz w:val="20"/>
            <w:szCs w:val="20"/>
          </w:rPr>
          <w:t>A.P. (DIR Series) Circular No. 34 dated May 24, 2019</w:t>
        </w:r>
      </w:hyperlink>
      <w:r w:rsidRPr="00470480">
        <w:rPr>
          <w:rFonts w:ascii="Arial" w:hAnsi="Arial" w:cs="Arial"/>
          <w:color w:val="000000"/>
          <w:sz w:val="20"/>
          <w:szCs w:val="20"/>
        </w:rPr>
        <w:t>, on ‘Voluntary Retention Route’ for Foreign Portfolio Investors investment in debt, read with</w:t>
      </w:r>
      <w:hyperlink r:id="rId42" w:tgtFrame="_blank" w:history="1">
        <w:r w:rsidRPr="00470480">
          <w:rPr>
            <w:rStyle w:val="Hyperlink"/>
            <w:rFonts w:ascii="Arial" w:hAnsi="Arial" w:cs="Arial"/>
            <w:sz w:val="20"/>
            <w:szCs w:val="20"/>
          </w:rPr>
          <w:t> A.P. (DIR Series) Circular No. 19 dated January 23, 2020</w:t>
        </w:r>
      </w:hyperlink>
      <w:r w:rsidRPr="00470480">
        <w:rPr>
          <w:rFonts w:ascii="Arial" w:hAnsi="Arial" w:cs="Arial"/>
          <w:color w:val="000000"/>
          <w:sz w:val="20"/>
          <w:szCs w:val="20"/>
        </w:rPr>
        <w:t>.</w:t>
      </w:r>
    </w:p>
    <w:p w:rsidR="005533F8" w:rsidRPr="00470480" w:rsidRDefault="005533F8" w:rsidP="005533F8">
      <w:pPr>
        <w:pStyle w:val="NormalWeb"/>
        <w:jc w:val="both"/>
        <w:rPr>
          <w:rFonts w:ascii="Arial" w:hAnsi="Arial" w:cs="Arial"/>
          <w:color w:val="000000"/>
          <w:sz w:val="20"/>
          <w:szCs w:val="20"/>
        </w:rPr>
      </w:pPr>
      <w:r w:rsidRPr="00470480">
        <w:rPr>
          <w:rFonts w:ascii="Arial" w:hAnsi="Arial" w:cs="Arial"/>
          <w:color w:val="000000"/>
          <w:sz w:val="20"/>
          <w:szCs w:val="20"/>
        </w:rPr>
        <w:t xml:space="preserve">4. The investment limit under the VRR is increased to ₹2,50,000 </w:t>
      </w:r>
      <w:proofErr w:type="gramStart"/>
      <w:r w:rsidRPr="00470480">
        <w:rPr>
          <w:rFonts w:ascii="Arial" w:hAnsi="Arial" w:cs="Arial"/>
          <w:color w:val="000000"/>
          <w:sz w:val="20"/>
          <w:szCs w:val="20"/>
        </w:rPr>
        <w:t>crore</w:t>
      </w:r>
      <w:proofErr w:type="gramEnd"/>
      <w:r w:rsidRPr="00470480">
        <w:rPr>
          <w:rFonts w:ascii="Arial" w:hAnsi="Arial" w:cs="Arial"/>
          <w:color w:val="000000"/>
          <w:sz w:val="20"/>
          <w:szCs w:val="20"/>
        </w:rPr>
        <w:t xml:space="preserve"> from ₹1,50,000 crore. The updated Directions are as given in the </w:t>
      </w:r>
      <w:hyperlink r:id="rId43" w:anchor="AN1" w:history="1">
        <w:r w:rsidRPr="00470480">
          <w:rPr>
            <w:rStyle w:val="Hyperlink"/>
            <w:rFonts w:ascii="Arial" w:hAnsi="Arial" w:cs="Arial"/>
            <w:sz w:val="20"/>
            <w:szCs w:val="20"/>
          </w:rPr>
          <w:t>Annex</w:t>
        </w:r>
      </w:hyperlink>
      <w:r w:rsidRPr="00470480">
        <w:rPr>
          <w:rFonts w:ascii="Arial" w:hAnsi="Arial" w:cs="Arial"/>
          <w:color w:val="000000"/>
          <w:sz w:val="20"/>
          <w:szCs w:val="20"/>
        </w:rPr>
        <w:t>.</w:t>
      </w:r>
    </w:p>
    <w:p w:rsidR="005533F8" w:rsidRPr="00470480" w:rsidRDefault="005533F8" w:rsidP="005533F8">
      <w:pPr>
        <w:pStyle w:val="NormalWeb"/>
        <w:jc w:val="both"/>
        <w:rPr>
          <w:rFonts w:ascii="Arial" w:hAnsi="Arial" w:cs="Arial"/>
          <w:color w:val="000000"/>
          <w:sz w:val="20"/>
          <w:szCs w:val="20"/>
        </w:rPr>
      </w:pPr>
      <w:r w:rsidRPr="00470480">
        <w:rPr>
          <w:rFonts w:ascii="Arial" w:hAnsi="Arial" w:cs="Arial"/>
          <w:color w:val="000000"/>
          <w:sz w:val="20"/>
          <w:szCs w:val="20"/>
        </w:rPr>
        <w:t>5. These Directions shall be applicable with effect from April 1, 2022.</w:t>
      </w:r>
    </w:p>
    <w:p w:rsidR="005533F8" w:rsidRPr="00470480" w:rsidRDefault="005533F8" w:rsidP="005533F8">
      <w:pPr>
        <w:pStyle w:val="NormalWeb"/>
        <w:jc w:val="both"/>
        <w:rPr>
          <w:rFonts w:ascii="Arial" w:hAnsi="Arial" w:cs="Arial"/>
          <w:color w:val="000000"/>
          <w:sz w:val="20"/>
          <w:szCs w:val="20"/>
        </w:rPr>
      </w:pPr>
      <w:r w:rsidRPr="00470480">
        <w:rPr>
          <w:rFonts w:ascii="Arial" w:hAnsi="Arial" w:cs="Arial"/>
          <w:color w:val="000000"/>
          <w:sz w:val="20"/>
          <w:szCs w:val="20"/>
        </w:rPr>
        <w:t>6. The directions contained in this circular have been issued under sections 10(4) and 11(1) of the Foreign Exchange Management Act, 1999 (42 of 1999) and are without prejudice to permissions/ approvals, if any, required under any other law.</w:t>
      </w:r>
    </w:p>
    <w:p w:rsidR="005533F8" w:rsidRPr="00470480" w:rsidRDefault="005533F8" w:rsidP="005533F8">
      <w:pPr>
        <w:pStyle w:val="NormalWeb"/>
        <w:jc w:val="right"/>
        <w:rPr>
          <w:rFonts w:ascii="Arial" w:hAnsi="Arial" w:cs="Arial"/>
          <w:color w:val="000000"/>
          <w:sz w:val="20"/>
          <w:szCs w:val="20"/>
        </w:rPr>
      </w:pPr>
      <w:r w:rsidRPr="00470480">
        <w:rPr>
          <w:rFonts w:ascii="Arial" w:hAnsi="Arial" w:cs="Arial"/>
          <w:color w:val="000000"/>
          <w:sz w:val="20"/>
          <w:szCs w:val="20"/>
        </w:rPr>
        <w:t>Yours faithfully</w:t>
      </w:r>
    </w:p>
    <w:p w:rsidR="005533F8" w:rsidRPr="00470480" w:rsidRDefault="005533F8" w:rsidP="005533F8">
      <w:pPr>
        <w:pStyle w:val="NormalWeb"/>
        <w:jc w:val="right"/>
        <w:rPr>
          <w:rFonts w:ascii="Arial" w:hAnsi="Arial" w:cs="Arial"/>
          <w:color w:val="000000"/>
          <w:sz w:val="20"/>
          <w:szCs w:val="20"/>
        </w:rPr>
      </w:pPr>
      <w:r w:rsidRPr="00470480">
        <w:rPr>
          <w:rFonts w:ascii="Arial" w:hAnsi="Arial" w:cs="Arial"/>
          <w:color w:val="000000"/>
          <w:sz w:val="20"/>
          <w:szCs w:val="20"/>
        </w:rPr>
        <w:t xml:space="preserve">(Dimple </w:t>
      </w:r>
      <w:proofErr w:type="spellStart"/>
      <w:r w:rsidRPr="00470480">
        <w:rPr>
          <w:rFonts w:ascii="Arial" w:hAnsi="Arial" w:cs="Arial"/>
          <w:color w:val="000000"/>
          <w:sz w:val="20"/>
          <w:szCs w:val="20"/>
        </w:rPr>
        <w:t>Bhandia</w:t>
      </w:r>
      <w:proofErr w:type="spellEnd"/>
      <w:r w:rsidRPr="00470480">
        <w:rPr>
          <w:rFonts w:ascii="Arial" w:hAnsi="Arial" w:cs="Arial"/>
          <w:color w:val="000000"/>
          <w:sz w:val="20"/>
          <w:szCs w:val="20"/>
        </w:rPr>
        <w:t>)</w:t>
      </w:r>
      <w:r w:rsidRPr="00470480">
        <w:rPr>
          <w:rFonts w:ascii="Arial" w:hAnsi="Arial" w:cs="Arial"/>
          <w:color w:val="000000"/>
          <w:sz w:val="20"/>
          <w:szCs w:val="20"/>
        </w:rPr>
        <w:br/>
        <w:t>Chief General Manager</w:t>
      </w:r>
    </w:p>
    <w:p w:rsidR="005533F8" w:rsidRDefault="005533F8" w:rsidP="005533F8">
      <w:pPr>
        <w:spacing w:after="0"/>
        <w:jc w:val="both"/>
        <w:rPr>
          <w:rFonts w:ascii="Arial" w:hAnsi="Arial" w:cs="Arial"/>
          <w:sz w:val="20"/>
          <w:szCs w:val="20"/>
        </w:rPr>
      </w:pPr>
    </w:p>
    <w:p w:rsidR="005533F8" w:rsidRPr="00470480" w:rsidRDefault="005533F8" w:rsidP="005533F8">
      <w:pPr>
        <w:spacing w:after="0"/>
        <w:jc w:val="both"/>
        <w:rPr>
          <w:rFonts w:ascii="Arial" w:hAnsi="Arial" w:cs="Arial"/>
          <w:sz w:val="20"/>
          <w:szCs w:val="20"/>
        </w:rPr>
      </w:pPr>
      <w:r w:rsidRPr="00470480">
        <w:rPr>
          <w:rFonts w:ascii="Arial" w:hAnsi="Arial" w:cs="Arial"/>
          <w:sz w:val="20"/>
          <w:szCs w:val="20"/>
        </w:rPr>
        <w:t xml:space="preserve">Reference Link: </w:t>
      </w:r>
      <w:hyperlink r:id="rId44" w:history="1">
        <w:r w:rsidRPr="00470480">
          <w:rPr>
            <w:rStyle w:val="Hyperlink"/>
            <w:rFonts w:ascii="Arial" w:hAnsi="Arial" w:cs="Arial"/>
            <w:sz w:val="20"/>
            <w:szCs w:val="20"/>
          </w:rPr>
          <w:t>https://www.rbi.org.in/Scripts/NotificationUser.aspx?Id=12228&amp;Mode=0</w:t>
        </w:r>
      </w:hyperlink>
    </w:p>
    <w:p w:rsidR="005533F8" w:rsidRPr="00470480" w:rsidRDefault="005533F8" w:rsidP="005533F8">
      <w:pPr>
        <w:spacing w:after="0"/>
        <w:jc w:val="both"/>
        <w:rPr>
          <w:rFonts w:ascii="Arial" w:hAnsi="Arial" w:cs="Arial"/>
          <w:sz w:val="20"/>
          <w:szCs w:val="20"/>
        </w:rPr>
      </w:pPr>
    </w:p>
    <w:p w:rsidR="005533F8" w:rsidRPr="00470480" w:rsidRDefault="005533F8" w:rsidP="005533F8">
      <w:pPr>
        <w:spacing w:after="0"/>
        <w:jc w:val="both"/>
        <w:rPr>
          <w:rFonts w:ascii="Arial" w:hAnsi="Arial" w:cs="Arial"/>
          <w:sz w:val="20"/>
          <w:szCs w:val="20"/>
        </w:rPr>
      </w:pPr>
    </w:p>
    <w:p w:rsidR="005533F8" w:rsidRPr="00470480" w:rsidRDefault="005533F8" w:rsidP="005533F8">
      <w:pPr>
        <w:spacing w:after="0"/>
        <w:jc w:val="both"/>
        <w:rPr>
          <w:rFonts w:ascii="Arial" w:hAnsi="Arial" w:cs="Arial"/>
          <w:sz w:val="20"/>
          <w:szCs w:val="20"/>
        </w:rPr>
      </w:pPr>
    </w:p>
    <w:p w:rsidR="005533F8" w:rsidRPr="00470480" w:rsidRDefault="005533F8" w:rsidP="005533F8">
      <w:pPr>
        <w:spacing w:after="0"/>
        <w:jc w:val="both"/>
        <w:rPr>
          <w:rFonts w:ascii="Arial" w:hAnsi="Arial" w:cs="Arial"/>
          <w:sz w:val="20"/>
          <w:szCs w:val="20"/>
        </w:rPr>
      </w:pPr>
    </w:p>
    <w:p w:rsidR="005533F8" w:rsidRPr="00470480" w:rsidRDefault="005533F8" w:rsidP="005533F8">
      <w:pPr>
        <w:spacing w:after="0"/>
        <w:jc w:val="both"/>
        <w:rPr>
          <w:rFonts w:ascii="Arial" w:hAnsi="Arial" w:cs="Arial"/>
          <w:sz w:val="20"/>
          <w:szCs w:val="20"/>
        </w:rPr>
      </w:pPr>
    </w:p>
    <w:p w:rsidR="005533F8" w:rsidRDefault="005533F8" w:rsidP="005533F8">
      <w:pPr>
        <w:spacing w:after="0"/>
        <w:jc w:val="both"/>
        <w:rPr>
          <w:rFonts w:ascii="Arial" w:hAnsi="Arial" w:cs="Arial"/>
          <w:b/>
          <w:bCs/>
          <w:color w:val="000000"/>
          <w:sz w:val="20"/>
          <w:szCs w:val="20"/>
        </w:rPr>
      </w:pPr>
      <w:r>
        <w:rPr>
          <w:rFonts w:ascii="Arial" w:hAnsi="Arial" w:cs="Arial"/>
          <w:b/>
          <w:bCs/>
          <w:color w:val="000000"/>
          <w:sz w:val="20"/>
          <w:szCs w:val="20"/>
        </w:rPr>
        <w:lastRenderedPageBreak/>
        <w:t>Transactions in Credit Default Swap (CDS) by Foreign Portfolio Investors – Operational Instructions</w:t>
      </w:r>
      <w:r w:rsidRPr="00470480">
        <w:rPr>
          <w:rFonts w:ascii="Arial" w:hAnsi="Arial" w:cs="Arial"/>
          <w:b/>
          <w:bCs/>
          <w:color w:val="000000"/>
          <w:sz w:val="20"/>
          <w:szCs w:val="20"/>
        </w:rPr>
        <w:t xml:space="preserve"> </w:t>
      </w:r>
    </w:p>
    <w:p w:rsidR="005533F8" w:rsidRDefault="005533F8" w:rsidP="005533F8">
      <w:pPr>
        <w:spacing w:after="0"/>
        <w:jc w:val="both"/>
        <w:rPr>
          <w:rFonts w:ascii="Arial" w:hAnsi="Arial" w:cs="Arial"/>
          <w:b/>
          <w:bCs/>
          <w:color w:val="000000"/>
          <w:sz w:val="20"/>
          <w:szCs w:val="20"/>
        </w:rPr>
      </w:pPr>
    </w:p>
    <w:p w:rsidR="005533F8" w:rsidRPr="00274FAB" w:rsidRDefault="005533F8" w:rsidP="005533F8">
      <w:pPr>
        <w:pStyle w:val="NormalWeb"/>
        <w:rPr>
          <w:rFonts w:ascii="Arial" w:hAnsi="Arial" w:cs="Arial"/>
          <w:sz w:val="20"/>
          <w:szCs w:val="20"/>
        </w:rPr>
      </w:pPr>
      <w:r w:rsidRPr="00274FAB">
        <w:rPr>
          <w:rFonts w:ascii="Arial" w:hAnsi="Arial" w:cs="Arial"/>
          <w:sz w:val="20"/>
          <w:szCs w:val="20"/>
        </w:rPr>
        <w:t>RBI/2021-22/155</w:t>
      </w:r>
      <w:r w:rsidRPr="00274FAB">
        <w:rPr>
          <w:rFonts w:ascii="Arial" w:hAnsi="Arial" w:cs="Arial"/>
          <w:sz w:val="20"/>
          <w:szCs w:val="20"/>
        </w:rPr>
        <w:br/>
        <w:t>A.P. (DIR Series) Circular No. 23</w:t>
      </w:r>
    </w:p>
    <w:p w:rsidR="005533F8" w:rsidRPr="00274FAB" w:rsidRDefault="005533F8" w:rsidP="005533F8">
      <w:pPr>
        <w:pStyle w:val="NormalWeb"/>
        <w:jc w:val="right"/>
        <w:rPr>
          <w:rFonts w:ascii="Arial" w:hAnsi="Arial" w:cs="Arial"/>
          <w:sz w:val="20"/>
          <w:szCs w:val="20"/>
        </w:rPr>
      </w:pPr>
      <w:r w:rsidRPr="00274FAB">
        <w:rPr>
          <w:rFonts w:ascii="Arial" w:hAnsi="Arial" w:cs="Arial"/>
          <w:sz w:val="20"/>
          <w:szCs w:val="20"/>
        </w:rPr>
        <w:t>February 10, 2022</w:t>
      </w:r>
    </w:p>
    <w:p w:rsidR="005533F8" w:rsidRPr="00274FAB" w:rsidRDefault="005533F8" w:rsidP="005533F8">
      <w:pPr>
        <w:pStyle w:val="NormalWeb"/>
        <w:rPr>
          <w:rFonts w:ascii="Arial" w:hAnsi="Arial" w:cs="Arial"/>
          <w:sz w:val="20"/>
          <w:szCs w:val="20"/>
        </w:rPr>
      </w:pPr>
      <w:r w:rsidRPr="00274FAB">
        <w:rPr>
          <w:rFonts w:ascii="Arial" w:hAnsi="Arial" w:cs="Arial"/>
          <w:sz w:val="20"/>
          <w:szCs w:val="20"/>
        </w:rPr>
        <w:t>To,</w:t>
      </w:r>
    </w:p>
    <w:p w:rsidR="005533F8" w:rsidRPr="00274FAB" w:rsidRDefault="005533F8" w:rsidP="005533F8">
      <w:pPr>
        <w:pStyle w:val="NormalWeb"/>
        <w:rPr>
          <w:rFonts w:ascii="Arial" w:hAnsi="Arial" w:cs="Arial"/>
          <w:sz w:val="20"/>
          <w:szCs w:val="20"/>
        </w:rPr>
      </w:pPr>
      <w:r w:rsidRPr="00274FAB">
        <w:rPr>
          <w:rFonts w:ascii="Arial" w:hAnsi="Arial" w:cs="Arial"/>
          <w:sz w:val="20"/>
          <w:szCs w:val="20"/>
        </w:rPr>
        <w:t>All Authorised Persons</w:t>
      </w:r>
    </w:p>
    <w:p w:rsidR="005533F8" w:rsidRPr="00274FAB" w:rsidRDefault="005533F8" w:rsidP="005533F8">
      <w:pPr>
        <w:pStyle w:val="NormalWeb"/>
        <w:rPr>
          <w:rFonts w:ascii="Arial" w:hAnsi="Arial" w:cs="Arial"/>
          <w:sz w:val="20"/>
          <w:szCs w:val="20"/>
        </w:rPr>
      </w:pPr>
      <w:r w:rsidRPr="00274FAB">
        <w:rPr>
          <w:rFonts w:ascii="Arial" w:hAnsi="Arial" w:cs="Arial"/>
          <w:sz w:val="20"/>
          <w:szCs w:val="20"/>
        </w:rPr>
        <w:t>Madam / Sir</w:t>
      </w:r>
    </w:p>
    <w:p w:rsidR="005533F8" w:rsidRPr="00274FAB" w:rsidRDefault="005533F8" w:rsidP="005533F8">
      <w:pPr>
        <w:pStyle w:val="head"/>
        <w:jc w:val="center"/>
        <w:rPr>
          <w:rFonts w:ascii="Arial" w:hAnsi="Arial" w:cs="Arial"/>
          <w:b/>
          <w:bCs/>
          <w:sz w:val="20"/>
          <w:szCs w:val="20"/>
        </w:rPr>
      </w:pPr>
      <w:r w:rsidRPr="00274FAB">
        <w:rPr>
          <w:rFonts w:ascii="Arial" w:hAnsi="Arial" w:cs="Arial"/>
          <w:b/>
          <w:bCs/>
          <w:sz w:val="20"/>
          <w:szCs w:val="20"/>
        </w:rPr>
        <w:t>Transactions in Credit Default Swap (CDS) by Foreign Portfolio Investors – Operational Instructions</w:t>
      </w:r>
    </w:p>
    <w:p w:rsidR="005533F8" w:rsidRPr="00274FAB" w:rsidRDefault="005533F8" w:rsidP="005533F8">
      <w:pPr>
        <w:pStyle w:val="NormalWeb"/>
        <w:rPr>
          <w:rFonts w:ascii="Arial" w:hAnsi="Arial" w:cs="Arial"/>
          <w:sz w:val="20"/>
          <w:szCs w:val="20"/>
        </w:rPr>
      </w:pPr>
      <w:r w:rsidRPr="00274FAB">
        <w:rPr>
          <w:rFonts w:ascii="Arial" w:hAnsi="Arial" w:cs="Arial"/>
          <w:sz w:val="20"/>
          <w:szCs w:val="20"/>
        </w:rPr>
        <w:t>Attention of Authorised Persons is invited to the Foreign Exchange Management (Debt Instruments) Regulations, 2019 [</w:t>
      </w:r>
      <w:hyperlink r:id="rId45" w:tgtFrame="_blank" w:history="1">
        <w:r w:rsidRPr="00274FAB">
          <w:rPr>
            <w:rStyle w:val="Hyperlink"/>
            <w:rFonts w:ascii="Arial" w:hAnsi="Arial" w:cs="Arial"/>
            <w:sz w:val="20"/>
            <w:szCs w:val="20"/>
          </w:rPr>
          <w:t>Notification No. FEMA. 396/2019-RB dated October 17, 2019</w:t>
        </w:r>
      </w:hyperlink>
      <w:r w:rsidRPr="00274FAB">
        <w:rPr>
          <w:rFonts w:ascii="Arial" w:hAnsi="Arial" w:cs="Arial"/>
          <w:sz w:val="20"/>
          <w:szCs w:val="20"/>
        </w:rPr>
        <w:t>], as amended from time to time. A reference is also invited to </w:t>
      </w:r>
      <w:hyperlink r:id="rId46" w:tgtFrame="_blank" w:history="1">
        <w:r w:rsidRPr="00274FAB">
          <w:rPr>
            <w:rStyle w:val="Hyperlink"/>
            <w:rFonts w:ascii="Arial" w:hAnsi="Arial" w:cs="Arial"/>
            <w:sz w:val="20"/>
            <w:szCs w:val="20"/>
          </w:rPr>
          <w:t>A.P. (DIR Series) Circular No.31 dated June 15, 2018</w:t>
        </w:r>
      </w:hyperlink>
      <w:r w:rsidRPr="00274FAB">
        <w:rPr>
          <w:rFonts w:ascii="Arial" w:hAnsi="Arial" w:cs="Arial"/>
          <w:sz w:val="20"/>
          <w:szCs w:val="20"/>
        </w:rPr>
        <w:t>, </w:t>
      </w:r>
      <w:hyperlink r:id="rId47" w:tgtFrame="_blank" w:history="1">
        <w:r w:rsidRPr="00274FAB">
          <w:rPr>
            <w:rStyle w:val="Hyperlink"/>
            <w:rFonts w:ascii="Arial" w:hAnsi="Arial" w:cs="Arial"/>
            <w:sz w:val="20"/>
            <w:szCs w:val="20"/>
          </w:rPr>
          <w:t>A.P. (DIR Series) Circular No. 05 dated May 31, 2021</w:t>
        </w:r>
      </w:hyperlink>
      <w:r w:rsidRPr="00274FAB">
        <w:rPr>
          <w:rFonts w:ascii="Arial" w:hAnsi="Arial" w:cs="Arial"/>
          <w:sz w:val="20"/>
          <w:szCs w:val="20"/>
        </w:rPr>
        <w:t> and </w:t>
      </w:r>
      <w:hyperlink r:id="rId48" w:tgtFrame="_blank" w:history="1">
        <w:r w:rsidRPr="00274FAB">
          <w:rPr>
            <w:rStyle w:val="Hyperlink"/>
            <w:rFonts w:ascii="Arial" w:hAnsi="Arial" w:cs="Arial"/>
            <w:sz w:val="20"/>
            <w:szCs w:val="20"/>
          </w:rPr>
          <w:t>Master Direction – Reserve Bank of India (Credit Derivatives) Directions, 2022 dated February 10, 2022</w:t>
        </w:r>
      </w:hyperlink>
      <w:r w:rsidRPr="00274FAB">
        <w:rPr>
          <w:rFonts w:ascii="Arial" w:hAnsi="Arial" w:cs="Arial"/>
          <w:sz w:val="20"/>
          <w:szCs w:val="20"/>
        </w:rPr>
        <w:t>, as amended from time to time (hereinafter, Credit Derivatives Directions).</w:t>
      </w:r>
    </w:p>
    <w:p w:rsidR="005533F8" w:rsidRPr="00274FAB" w:rsidRDefault="005533F8" w:rsidP="005533F8">
      <w:pPr>
        <w:pStyle w:val="NormalWeb"/>
        <w:rPr>
          <w:rFonts w:ascii="Arial" w:hAnsi="Arial" w:cs="Arial"/>
          <w:sz w:val="20"/>
          <w:szCs w:val="20"/>
        </w:rPr>
      </w:pPr>
      <w:r w:rsidRPr="00274FAB">
        <w:rPr>
          <w:rFonts w:ascii="Arial" w:hAnsi="Arial" w:cs="Arial"/>
          <w:sz w:val="20"/>
          <w:szCs w:val="20"/>
        </w:rPr>
        <w:t>2. Foreign Portfolio Investors (FPIs) are eligible to be categorised as non-retail users and have been allowed to buy and sell CDS protection under the Credit Derivatives Directions. Necessary Directions to Authorised Persons that are eligible to deal with FPIs for transacting in Credit Derivatives in terms of the Credit Derivatives Directions are being issued hereunder.</w:t>
      </w:r>
    </w:p>
    <w:p w:rsidR="005533F8" w:rsidRPr="00274FAB" w:rsidRDefault="005533F8" w:rsidP="005533F8">
      <w:pPr>
        <w:pStyle w:val="NormalWeb"/>
        <w:rPr>
          <w:rFonts w:ascii="Arial" w:hAnsi="Arial" w:cs="Arial"/>
          <w:sz w:val="20"/>
          <w:szCs w:val="20"/>
        </w:rPr>
      </w:pPr>
      <w:r w:rsidRPr="00274FAB">
        <w:rPr>
          <w:rFonts w:ascii="Arial" w:hAnsi="Arial" w:cs="Arial"/>
          <w:sz w:val="20"/>
          <w:szCs w:val="20"/>
        </w:rPr>
        <w:t>3. Selling of CDS protection by all FPIs shall be subject to a limit specified by the Reserve Bank from time to time (hereinafter, aggregate limit). The aggregate limit of the notional amount of CDS sold by FPIs shall be 5% of the outstanding stock of corporate bonds. Clearing Corporation of India Ltd. (CCIL) shall disseminate the utilisation of aggregate limit based on the reporting by the market makers for transactions in OTC market and reporting by stock exchanges for transactions on exchanges. FPIs shall not sell any CDS protection once aggregate limit is utilised. The limit utilised for CDS protection sold by the FPI shall be released upon the exit of the CDS position by the FPIs.</w:t>
      </w:r>
    </w:p>
    <w:p w:rsidR="005533F8" w:rsidRDefault="005533F8" w:rsidP="005533F8">
      <w:pPr>
        <w:spacing w:after="0"/>
        <w:jc w:val="both"/>
        <w:rPr>
          <w:rFonts w:ascii="Arial" w:hAnsi="Arial" w:cs="Arial"/>
          <w:bCs/>
          <w:color w:val="000000"/>
          <w:sz w:val="20"/>
          <w:szCs w:val="20"/>
        </w:rPr>
      </w:pPr>
    </w:p>
    <w:p w:rsidR="005533F8" w:rsidRDefault="005533F8" w:rsidP="005533F8">
      <w:pPr>
        <w:spacing w:after="0"/>
        <w:jc w:val="both"/>
        <w:rPr>
          <w:rFonts w:ascii="Arial" w:hAnsi="Arial" w:cs="Arial"/>
          <w:bCs/>
          <w:color w:val="000000"/>
          <w:sz w:val="20"/>
          <w:szCs w:val="20"/>
        </w:rPr>
      </w:pPr>
    </w:p>
    <w:p w:rsidR="005533F8" w:rsidRPr="002E3BA0" w:rsidRDefault="005533F8" w:rsidP="005533F8">
      <w:pPr>
        <w:spacing w:after="0"/>
        <w:jc w:val="both"/>
        <w:rPr>
          <w:rFonts w:ascii="Arial" w:hAnsi="Arial" w:cs="Arial"/>
          <w:bCs/>
          <w:color w:val="000000"/>
          <w:sz w:val="20"/>
          <w:szCs w:val="20"/>
        </w:rPr>
      </w:pPr>
      <w:r>
        <w:rPr>
          <w:rFonts w:ascii="Arial" w:hAnsi="Arial" w:cs="Arial"/>
          <w:bCs/>
          <w:color w:val="000000"/>
          <w:sz w:val="20"/>
          <w:szCs w:val="20"/>
        </w:rPr>
        <w:t>For more details, refer to the link placed below.</w:t>
      </w:r>
    </w:p>
    <w:p w:rsidR="005533F8" w:rsidRDefault="005533F8" w:rsidP="005533F8">
      <w:pPr>
        <w:spacing w:after="0"/>
        <w:jc w:val="both"/>
        <w:rPr>
          <w:rFonts w:ascii="Arial" w:hAnsi="Arial" w:cs="Arial"/>
          <w:bCs/>
          <w:color w:val="000000"/>
          <w:sz w:val="20"/>
          <w:szCs w:val="20"/>
        </w:rPr>
      </w:pPr>
      <w:r w:rsidRPr="00274FAB">
        <w:rPr>
          <w:rFonts w:ascii="Arial" w:hAnsi="Arial" w:cs="Arial"/>
          <w:bCs/>
          <w:color w:val="000000"/>
          <w:sz w:val="20"/>
          <w:szCs w:val="20"/>
        </w:rPr>
        <w:t xml:space="preserve">Reference Link: </w:t>
      </w:r>
      <w:hyperlink r:id="rId49" w:history="1">
        <w:r w:rsidRPr="00321241">
          <w:rPr>
            <w:rStyle w:val="Hyperlink"/>
            <w:rFonts w:ascii="Arial" w:hAnsi="Arial" w:cs="Arial"/>
            <w:bCs/>
            <w:sz w:val="20"/>
            <w:szCs w:val="20"/>
          </w:rPr>
          <w:t>https://www.rbi.org.in/Scripts/NotificationUser.aspx?Id=12227&amp;Mode=0</w:t>
        </w:r>
      </w:hyperlink>
    </w:p>
    <w:p w:rsidR="005533F8" w:rsidRPr="00274FAB" w:rsidRDefault="005533F8" w:rsidP="005533F8">
      <w:pPr>
        <w:spacing w:after="0"/>
        <w:jc w:val="both"/>
        <w:rPr>
          <w:rFonts w:ascii="Arial" w:hAnsi="Arial" w:cs="Arial"/>
          <w:bCs/>
          <w:color w:val="000000"/>
          <w:sz w:val="20"/>
          <w:szCs w:val="20"/>
        </w:rPr>
      </w:pPr>
    </w:p>
    <w:p w:rsidR="005533F8" w:rsidRDefault="005533F8" w:rsidP="005533F8">
      <w:pPr>
        <w:spacing w:after="0"/>
        <w:jc w:val="both"/>
        <w:rPr>
          <w:rFonts w:ascii="Arial" w:hAnsi="Arial" w:cs="Arial"/>
          <w:b/>
          <w:bCs/>
          <w:color w:val="000000"/>
          <w:sz w:val="20"/>
          <w:szCs w:val="20"/>
        </w:rPr>
      </w:pPr>
    </w:p>
    <w:p w:rsidR="005533F8" w:rsidRDefault="005533F8" w:rsidP="005533F8">
      <w:pPr>
        <w:spacing w:after="0"/>
        <w:jc w:val="both"/>
        <w:rPr>
          <w:rFonts w:ascii="Arial" w:hAnsi="Arial" w:cs="Arial"/>
          <w:b/>
          <w:bCs/>
          <w:color w:val="000000"/>
          <w:sz w:val="20"/>
          <w:szCs w:val="20"/>
        </w:rPr>
      </w:pPr>
    </w:p>
    <w:p w:rsidR="005533F8" w:rsidRDefault="005533F8" w:rsidP="005533F8">
      <w:pPr>
        <w:spacing w:after="0"/>
        <w:jc w:val="both"/>
        <w:rPr>
          <w:rFonts w:ascii="Arial" w:hAnsi="Arial" w:cs="Arial"/>
          <w:b/>
          <w:bCs/>
          <w:color w:val="000000"/>
          <w:sz w:val="20"/>
          <w:szCs w:val="20"/>
        </w:rPr>
      </w:pPr>
    </w:p>
    <w:p w:rsidR="005533F8" w:rsidRDefault="005533F8" w:rsidP="005533F8">
      <w:pPr>
        <w:spacing w:after="0"/>
        <w:jc w:val="both"/>
        <w:rPr>
          <w:rFonts w:ascii="Arial" w:hAnsi="Arial" w:cs="Arial"/>
          <w:b/>
          <w:bCs/>
          <w:color w:val="000000"/>
          <w:sz w:val="20"/>
          <w:szCs w:val="20"/>
        </w:rPr>
      </w:pPr>
    </w:p>
    <w:p w:rsidR="005533F8" w:rsidRDefault="005533F8" w:rsidP="005533F8">
      <w:pPr>
        <w:spacing w:after="0"/>
        <w:jc w:val="both"/>
        <w:rPr>
          <w:rFonts w:ascii="Arial" w:hAnsi="Arial" w:cs="Arial"/>
          <w:b/>
          <w:bCs/>
          <w:color w:val="000000"/>
          <w:sz w:val="20"/>
          <w:szCs w:val="20"/>
        </w:rPr>
      </w:pPr>
    </w:p>
    <w:p w:rsidR="005533F8" w:rsidRDefault="005533F8" w:rsidP="005533F8">
      <w:pPr>
        <w:spacing w:after="0"/>
        <w:jc w:val="both"/>
        <w:rPr>
          <w:rFonts w:ascii="Arial" w:hAnsi="Arial" w:cs="Arial"/>
          <w:b/>
          <w:bCs/>
          <w:color w:val="000000"/>
          <w:sz w:val="20"/>
          <w:szCs w:val="20"/>
        </w:rPr>
      </w:pPr>
    </w:p>
    <w:p w:rsidR="005533F8" w:rsidRDefault="005533F8" w:rsidP="005533F8">
      <w:pPr>
        <w:spacing w:after="0"/>
        <w:jc w:val="both"/>
        <w:rPr>
          <w:rFonts w:ascii="Arial" w:hAnsi="Arial" w:cs="Arial"/>
          <w:b/>
          <w:bCs/>
          <w:color w:val="000000"/>
          <w:sz w:val="20"/>
          <w:szCs w:val="20"/>
        </w:rPr>
      </w:pPr>
    </w:p>
    <w:p w:rsidR="005533F8" w:rsidRDefault="005533F8" w:rsidP="005533F8">
      <w:pPr>
        <w:spacing w:after="0"/>
        <w:jc w:val="both"/>
        <w:rPr>
          <w:rFonts w:ascii="Arial" w:hAnsi="Arial" w:cs="Arial"/>
          <w:b/>
          <w:bCs/>
          <w:color w:val="000000"/>
          <w:sz w:val="20"/>
          <w:szCs w:val="20"/>
        </w:rPr>
      </w:pPr>
    </w:p>
    <w:p w:rsidR="005533F8" w:rsidRDefault="005533F8" w:rsidP="005533F8">
      <w:pPr>
        <w:spacing w:after="0"/>
        <w:jc w:val="both"/>
        <w:rPr>
          <w:rFonts w:ascii="Arial" w:hAnsi="Arial" w:cs="Arial"/>
          <w:b/>
          <w:bCs/>
          <w:color w:val="000000"/>
          <w:sz w:val="20"/>
          <w:szCs w:val="20"/>
        </w:rPr>
      </w:pPr>
    </w:p>
    <w:p w:rsidR="005533F8" w:rsidRDefault="005533F8" w:rsidP="005533F8">
      <w:pPr>
        <w:spacing w:after="0"/>
        <w:jc w:val="both"/>
        <w:rPr>
          <w:rFonts w:ascii="Arial" w:hAnsi="Arial" w:cs="Arial"/>
          <w:b/>
          <w:bCs/>
          <w:color w:val="000000"/>
          <w:sz w:val="20"/>
          <w:szCs w:val="20"/>
        </w:rPr>
      </w:pPr>
    </w:p>
    <w:p w:rsidR="005533F8" w:rsidRDefault="005533F8" w:rsidP="005533F8">
      <w:pPr>
        <w:spacing w:after="0"/>
        <w:jc w:val="both"/>
        <w:rPr>
          <w:rFonts w:ascii="Arial" w:hAnsi="Arial" w:cs="Arial"/>
          <w:b/>
          <w:bCs/>
          <w:color w:val="000000"/>
          <w:sz w:val="20"/>
          <w:szCs w:val="20"/>
        </w:rPr>
      </w:pPr>
    </w:p>
    <w:p w:rsidR="005533F8" w:rsidRDefault="005533F8" w:rsidP="005533F8">
      <w:pPr>
        <w:spacing w:after="0"/>
        <w:jc w:val="both"/>
        <w:rPr>
          <w:rFonts w:ascii="Arial" w:hAnsi="Arial" w:cs="Arial"/>
          <w:b/>
          <w:bCs/>
          <w:color w:val="000000"/>
          <w:sz w:val="20"/>
          <w:szCs w:val="20"/>
        </w:rPr>
      </w:pPr>
    </w:p>
    <w:p w:rsidR="005533F8" w:rsidRDefault="005533F8" w:rsidP="005533F8">
      <w:pPr>
        <w:spacing w:after="0"/>
        <w:jc w:val="both"/>
        <w:rPr>
          <w:rFonts w:ascii="Arial" w:hAnsi="Arial" w:cs="Arial"/>
          <w:b/>
          <w:bCs/>
          <w:color w:val="000000"/>
          <w:sz w:val="20"/>
          <w:szCs w:val="20"/>
        </w:rPr>
      </w:pPr>
    </w:p>
    <w:p w:rsidR="005533F8" w:rsidRPr="00470480" w:rsidRDefault="005533F8" w:rsidP="005533F8">
      <w:pPr>
        <w:spacing w:after="0"/>
        <w:jc w:val="both"/>
        <w:rPr>
          <w:rFonts w:ascii="Arial" w:hAnsi="Arial" w:cs="Arial"/>
          <w:b/>
          <w:bCs/>
          <w:color w:val="000000"/>
          <w:sz w:val="20"/>
          <w:szCs w:val="20"/>
        </w:rPr>
      </w:pPr>
      <w:r w:rsidRPr="00470480">
        <w:rPr>
          <w:rFonts w:ascii="Arial" w:hAnsi="Arial" w:cs="Arial"/>
          <w:b/>
          <w:bCs/>
          <w:color w:val="000000"/>
          <w:sz w:val="20"/>
          <w:szCs w:val="20"/>
        </w:rPr>
        <w:lastRenderedPageBreak/>
        <w:t>Master Direction – Reserve Bank of India (Credit Derivatives) Directions, 2022</w:t>
      </w:r>
    </w:p>
    <w:p w:rsidR="005533F8" w:rsidRPr="00470480" w:rsidRDefault="005533F8" w:rsidP="005533F8">
      <w:pPr>
        <w:spacing w:after="0"/>
        <w:jc w:val="both"/>
        <w:rPr>
          <w:rFonts w:ascii="Arial" w:hAnsi="Arial" w:cs="Arial"/>
          <w:b/>
          <w:bCs/>
          <w:color w:val="000000"/>
          <w:sz w:val="20"/>
          <w:szCs w:val="20"/>
        </w:rPr>
      </w:pPr>
    </w:p>
    <w:p w:rsidR="005533F8" w:rsidRPr="00470480" w:rsidRDefault="005533F8" w:rsidP="005533F8">
      <w:pPr>
        <w:pStyle w:val="NormalWeb"/>
        <w:jc w:val="both"/>
        <w:rPr>
          <w:rFonts w:ascii="Arial" w:hAnsi="Arial" w:cs="Arial"/>
          <w:color w:val="000000"/>
          <w:sz w:val="20"/>
          <w:szCs w:val="20"/>
        </w:rPr>
      </w:pPr>
      <w:r w:rsidRPr="00470480">
        <w:rPr>
          <w:rFonts w:ascii="Arial" w:hAnsi="Arial" w:cs="Arial"/>
          <w:color w:val="000000"/>
          <w:sz w:val="20"/>
          <w:szCs w:val="20"/>
        </w:rPr>
        <w:t>RBI/2021-22/88</w:t>
      </w:r>
      <w:r w:rsidRPr="00470480">
        <w:rPr>
          <w:rFonts w:ascii="Arial" w:hAnsi="Arial" w:cs="Arial"/>
          <w:color w:val="000000"/>
          <w:sz w:val="20"/>
          <w:szCs w:val="20"/>
        </w:rPr>
        <w:br/>
        <w:t>FMRD.DIRD.10/14.03.004/2021-22</w:t>
      </w:r>
    </w:p>
    <w:p w:rsidR="005533F8" w:rsidRPr="00470480" w:rsidRDefault="005533F8" w:rsidP="005533F8">
      <w:pPr>
        <w:pStyle w:val="NormalWeb"/>
        <w:jc w:val="right"/>
        <w:rPr>
          <w:rFonts w:ascii="Arial" w:hAnsi="Arial" w:cs="Arial"/>
          <w:color w:val="000000"/>
          <w:sz w:val="20"/>
          <w:szCs w:val="20"/>
        </w:rPr>
      </w:pPr>
      <w:r w:rsidRPr="00470480">
        <w:rPr>
          <w:rFonts w:ascii="Arial" w:hAnsi="Arial" w:cs="Arial"/>
          <w:color w:val="000000"/>
          <w:sz w:val="20"/>
          <w:szCs w:val="20"/>
        </w:rPr>
        <w:t>February 10, 2022</w:t>
      </w:r>
    </w:p>
    <w:p w:rsidR="005533F8" w:rsidRPr="00470480" w:rsidRDefault="005533F8" w:rsidP="005533F8">
      <w:pPr>
        <w:pStyle w:val="NormalWeb"/>
        <w:jc w:val="both"/>
        <w:rPr>
          <w:rFonts w:ascii="Arial" w:hAnsi="Arial" w:cs="Arial"/>
          <w:color w:val="000000"/>
          <w:sz w:val="20"/>
          <w:szCs w:val="20"/>
        </w:rPr>
      </w:pPr>
      <w:r w:rsidRPr="00470480">
        <w:rPr>
          <w:rFonts w:ascii="Arial" w:hAnsi="Arial" w:cs="Arial"/>
          <w:color w:val="000000"/>
          <w:sz w:val="20"/>
          <w:szCs w:val="20"/>
        </w:rPr>
        <w:t>To,</w:t>
      </w:r>
      <w:r w:rsidRPr="00470480">
        <w:rPr>
          <w:rFonts w:ascii="Arial" w:hAnsi="Arial" w:cs="Arial"/>
          <w:color w:val="000000"/>
          <w:sz w:val="20"/>
          <w:szCs w:val="20"/>
        </w:rPr>
        <w:br/>
        <w:t>All Eligible Market Participants</w:t>
      </w:r>
    </w:p>
    <w:p w:rsidR="005533F8" w:rsidRPr="00470480" w:rsidRDefault="005533F8" w:rsidP="005533F8">
      <w:pPr>
        <w:pStyle w:val="NormalWeb"/>
        <w:jc w:val="both"/>
        <w:rPr>
          <w:rFonts w:ascii="Arial" w:hAnsi="Arial" w:cs="Arial"/>
          <w:color w:val="000000"/>
          <w:sz w:val="20"/>
          <w:szCs w:val="20"/>
        </w:rPr>
      </w:pPr>
      <w:r w:rsidRPr="00470480">
        <w:rPr>
          <w:rFonts w:ascii="Arial" w:hAnsi="Arial" w:cs="Arial"/>
          <w:color w:val="000000"/>
          <w:sz w:val="20"/>
          <w:szCs w:val="20"/>
        </w:rPr>
        <w:t>Madam/Sir,</w:t>
      </w:r>
    </w:p>
    <w:p w:rsidR="005533F8" w:rsidRPr="00470480" w:rsidRDefault="005533F8" w:rsidP="005533F8">
      <w:pPr>
        <w:pStyle w:val="head"/>
        <w:jc w:val="center"/>
        <w:rPr>
          <w:rFonts w:ascii="Arial" w:hAnsi="Arial" w:cs="Arial"/>
          <w:b/>
          <w:bCs/>
          <w:color w:val="000000"/>
          <w:sz w:val="20"/>
          <w:szCs w:val="20"/>
        </w:rPr>
      </w:pPr>
      <w:r w:rsidRPr="00470480">
        <w:rPr>
          <w:rFonts w:ascii="Arial" w:hAnsi="Arial" w:cs="Arial"/>
          <w:b/>
          <w:bCs/>
          <w:color w:val="000000"/>
          <w:sz w:val="20"/>
          <w:szCs w:val="20"/>
        </w:rPr>
        <w:t>Master Direction – Reserve Bank of India (Credit Derivatives) Directions, 2022</w:t>
      </w:r>
    </w:p>
    <w:p w:rsidR="005533F8" w:rsidRPr="00470480" w:rsidRDefault="005533F8" w:rsidP="005533F8">
      <w:pPr>
        <w:pStyle w:val="NormalWeb"/>
        <w:jc w:val="both"/>
        <w:rPr>
          <w:rFonts w:ascii="Arial" w:hAnsi="Arial" w:cs="Arial"/>
          <w:color w:val="000000"/>
          <w:sz w:val="20"/>
          <w:szCs w:val="20"/>
        </w:rPr>
      </w:pPr>
      <w:r w:rsidRPr="00470480">
        <w:rPr>
          <w:rFonts w:ascii="Arial" w:hAnsi="Arial" w:cs="Arial"/>
          <w:color w:val="000000"/>
          <w:sz w:val="20"/>
          <w:szCs w:val="20"/>
        </w:rPr>
        <w:t>Please refer to Paragraph 4 of the </w:t>
      </w:r>
      <w:hyperlink r:id="rId50" w:tgtFrame="_blank" w:history="1">
        <w:r w:rsidRPr="00470480">
          <w:rPr>
            <w:rStyle w:val="Hyperlink"/>
            <w:rFonts w:ascii="Arial" w:hAnsi="Arial" w:cs="Arial"/>
            <w:sz w:val="20"/>
            <w:szCs w:val="20"/>
          </w:rPr>
          <w:t>Statement on Developmental and Regulatory Policies</w:t>
        </w:r>
      </w:hyperlink>
      <w:r w:rsidRPr="00470480">
        <w:rPr>
          <w:rFonts w:ascii="Arial" w:hAnsi="Arial" w:cs="Arial"/>
          <w:color w:val="000000"/>
          <w:sz w:val="20"/>
          <w:szCs w:val="20"/>
        </w:rPr>
        <w:t> announced as a part of the </w:t>
      </w:r>
      <w:hyperlink r:id="rId51" w:tgtFrame="_blank" w:history="1">
        <w:r w:rsidRPr="00470480">
          <w:rPr>
            <w:rStyle w:val="Hyperlink"/>
            <w:rFonts w:ascii="Arial" w:hAnsi="Arial" w:cs="Arial"/>
            <w:sz w:val="20"/>
            <w:szCs w:val="20"/>
          </w:rPr>
          <w:t>Bi-monthly Monetary Policy Statement for 2021-22 dated February 10, 2022</w:t>
        </w:r>
      </w:hyperlink>
      <w:r w:rsidRPr="00470480">
        <w:rPr>
          <w:rFonts w:ascii="Arial" w:hAnsi="Arial" w:cs="Arial"/>
          <w:color w:val="000000"/>
          <w:sz w:val="20"/>
          <w:szCs w:val="20"/>
        </w:rPr>
        <w:t>, regarding review of the Credit Default Swaps (CDS) Guidelines.</w:t>
      </w:r>
    </w:p>
    <w:p w:rsidR="005533F8" w:rsidRPr="00470480" w:rsidRDefault="005533F8" w:rsidP="005533F8">
      <w:pPr>
        <w:pStyle w:val="NormalWeb"/>
        <w:jc w:val="both"/>
        <w:rPr>
          <w:rFonts w:ascii="Arial" w:hAnsi="Arial" w:cs="Arial"/>
          <w:color w:val="000000"/>
          <w:sz w:val="20"/>
          <w:szCs w:val="20"/>
        </w:rPr>
      </w:pPr>
      <w:r w:rsidRPr="00470480">
        <w:rPr>
          <w:rFonts w:ascii="Arial" w:hAnsi="Arial" w:cs="Arial"/>
          <w:color w:val="000000"/>
          <w:sz w:val="20"/>
          <w:szCs w:val="20"/>
        </w:rPr>
        <w:t>2. The draft Reserve Bank of India (Credit Derivatives) Directions, 2021 were released for public comments on </w:t>
      </w:r>
      <w:hyperlink r:id="rId52" w:tgtFrame="_blank" w:history="1">
        <w:r w:rsidRPr="00470480">
          <w:rPr>
            <w:rStyle w:val="Hyperlink"/>
            <w:rFonts w:ascii="Arial" w:hAnsi="Arial" w:cs="Arial"/>
            <w:sz w:val="20"/>
            <w:szCs w:val="20"/>
          </w:rPr>
          <w:t>February 16, 2021</w:t>
        </w:r>
      </w:hyperlink>
      <w:r w:rsidRPr="00470480">
        <w:rPr>
          <w:rFonts w:ascii="Arial" w:hAnsi="Arial" w:cs="Arial"/>
          <w:color w:val="000000"/>
          <w:sz w:val="20"/>
          <w:szCs w:val="20"/>
        </w:rPr>
        <w:t>. Based on the feedback received from the market participants, the draft Directions were reviewed and have since been finalised. The Master Direction – Reserve Bank of India (Credit Derivatives) Directions, 2022 are </w:t>
      </w:r>
      <w:hyperlink r:id="rId53" w:anchor="MD" w:history="1">
        <w:r w:rsidRPr="00470480">
          <w:rPr>
            <w:rStyle w:val="Hyperlink"/>
            <w:rFonts w:ascii="Arial" w:hAnsi="Arial" w:cs="Arial"/>
            <w:sz w:val="20"/>
            <w:szCs w:val="20"/>
          </w:rPr>
          <w:t>enclosed</w:t>
        </w:r>
      </w:hyperlink>
      <w:r w:rsidRPr="00470480">
        <w:rPr>
          <w:rFonts w:ascii="Arial" w:hAnsi="Arial" w:cs="Arial"/>
          <w:color w:val="000000"/>
          <w:sz w:val="20"/>
          <w:szCs w:val="20"/>
        </w:rPr>
        <w:t> herewith.</w:t>
      </w:r>
    </w:p>
    <w:p w:rsidR="005533F8" w:rsidRPr="00470480" w:rsidRDefault="005533F8" w:rsidP="005533F8">
      <w:pPr>
        <w:pStyle w:val="NormalWeb"/>
        <w:jc w:val="right"/>
        <w:rPr>
          <w:rFonts w:ascii="Arial" w:hAnsi="Arial" w:cs="Arial"/>
          <w:color w:val="000000"/>
          <w:sz w:val="20"/>
          <w:szCs w:val="20"/>
        </w:rPr>
      </w:pPr>
      <w:r w:rsidRPr="00470480">
        <w:rPr>
          <w:rFonts w:ascii="Arial" w:hAnsi="Arial" w:cs="Arial"/>
          <w:color w:val="000000"/>
          <w:sz w:val="20"/>
          <w:szCs w:val="20"/>
        </w:rPr>
        <w:t>Yours faithfully,</w:t>
      </w:r>
    </w:p>
    <w:p w:rsidR="005533F8" w:rsidRPr="00470480" w:rsidRDefault="005533F8" w:rsidP="005533F8">
      <w:pPr>
        <w:pStyle w:val="NormalWeb"/>
        <w:jc w:val="right"/>
        <w:rPr>
          <w:rFonts w:ascii="Arial" w:hAnsi="Arial" w:cs="Arial"/>
          <w:color w:val="000000"/>
          <w:sz w:val="20"/>
          <w:szCs w:val="20"/>
        </w:rPr>
      </w:pPr>
      <w:r w:rsidRPr="00470480">
        <w:rPr>
          <w:rFonts w:ascii="Arial" w:hAnsi="Arial" w:cs="Arial"/>
          <w:color w:val="000000"/>
          <w:sz w:val="20"/>
          <w:szCs w:val="20"/>
        </w:rPr>
        <w:t xml:space="preserve">(Dimple </w:t>
      </w:r>
      <w:proofErr w:type="spellStart"/>
      <w:r w:rsidRPr="00470480">
        <w:rPr>
          <w:rFonts w:ascii="Arial" w:hAnsi="Arial" w:cs="Arial"/>
          <w:color w:val="000000"/>
          <w:sz w:val="20"/>
          <w:szCs w:val="20"/>
        </w:rPr>
        <w:t>Bhandia</w:t>
      </w:r>
      <w:proofErr w:type="spellEnd"/>
      <w:r w:rsidRPr="00470480">
        <w:rPr>
          <w:rFonts w:ascii="Arial" w:hAnsi="Arial" w:cs="Arial"/>
          <w:color w:val="000000"/>
          <w:sz w:val="20"/>
          <w:szCs w:val="20"/>
        </w:rPr>
        <w:t>)</w:t>
      </w:r>
      <w:r w:rsidRPr="00470480">
        <w:rPr>
          <w:rFonts w:ascii="Arial" w:hAnsi="Arial" w:cs="Arial"/>
          <w:color w:val="000000"/>
          <w:sz w:val="20"/>
          <w:szCs w:val="20"/>
        </w:rPr>
        <w:br/>
        <w:t>Chief General Manager</w:t>
      </w:r>
    </w:p>
    <w:p w:rsidR="005533F8" w:rsidRDefault="005533F8" w:rsidP="005533F8">
      <w:pPr>
        <w:spacing w:after="0"/>
        <w:jc w:val="both"/>
        <w:rPr>
          <w:rFonts w:ascii="Arial" w:hAnsi="Arial" w:cs="Arial"/>
          <w:sz w:val="20"/>
          <w:szCs w:val="20"/>
        </w:rPr>
      </w:pPr>
    </w:p>
    <w:p w:rsidR="005533F8" w:rsidRDefault="005533F8" w:rsidP="005533F8">
      <w:pPr>
        <w:spacing w:after="0"/>
        <w:jc w:val="both"/>
        <w:rPr>
          <w:rFonts w:ascii="Arial" w:hAnsi="Arial" w:cs="Arial"/>
          <w:sz w:val="20"/>
          <w:szCs w:val="20"/>
        </w:rPr>
      </w:pPr>
    </w:p>
    <w:p w:rsidR="005533F8" w:rsidRDefault="005533F8" w:rsidP="005533F8">
      <w:pPr>
        <w:spacing w:after="0"/>
        <w:jc w:val="both"/>
        <w:rPr>
          <w:rFonts w:ascii="Arial" w:hAnsi="Arial" w:cs="Arial"/>
          <w:sz w:val="20"/>
          <w:szCs w:val="20"/>
        </w:rPr>
      </w:pPr>
    </w:p>
    <w:p w:rsidR="005533F8" w:rsidRDefault="005533F8" w:rsidP="005533F8">
      <w:pPr>
        <w:spacing w:after="0"/>
        <w:jc w:val="both"/>
        <w:rPr>
          <w:rFonts w:ascii="Arial" w:hAnsi="Arial" w:cs="Arial"/>
          <w:sz w:val="20"/>
          <w:szCs w:val="20"/>
        </w:rPr>
      </w:pPr>
      <w:r>
        <w:rPr>
          <w:rFonts w:ascii="Arial" w:hAnsi="Arial" w:cs="Arial"/>
          <w:sz w:val="20"/>
          <w:szCs w:val="20"/>
        </w:rPr>
        <w:t>For the detailed Master Direction, refer to the link below.</w:t>
      </w:r>
    </w:p>
    <w:p w:rsidR="005533F8" w:rsidRPr="00470480" w:rsidRDefault="005533F8" w:rsidP="005533F8">
      <w:pPr>
        <w:spacing w:after="0"/>
        <w:jc w:val="both"/>
        <w:rPr>
          <w:rFonts w:ascii="Arial" w:hAnsi="Arial" w:cs="Arial"/>
          <w:sz w:val="20"/>
          <w:szCs w:val="20"/>
        </w:rPr>
      </w:pPr>
      <w:r w:rsidRPr="00470480">
        <w:rPr>
          <w:rFonts w:ascii="Arial" w:hAnsi="Arial" w:cs="Arial"/>
          <w:sz w:val="20"/>
          <w:szCs w:val="20"/>
        </w:rPr>
        <w:t xml:space="preserve">Reference Link: </w:t>
      </w:r>
      <w:hyperlink r:id="rId54" w:history="1">
        <w:r w:rsidRPr="00470480">
          <w:rPr>
            <w:rStyle w:val="Hyperlink"/>
            <w:rFonts w:ascii="Arial" w:hAnsi="Arial" w:cs="Arial"/>
            <w:sz w:val="20"/>
            <w:szCs w:val="20"/>
          </w:rPr>
          <w:t>https://www.rbi.org.in/Scripts/NotificationUser.aspx?Id=12226&amp;Mode=0</w:t>
        </w:r>
      </w:hyperlink>
    </w:p>
    <w:p w:rsidR="005533F8" w:rsidRPr="00470480" w:rsidRDefault="005533F8" w:rsidP="005533F8">
      <w:pPr>
        <w:spacing w:after="0"/>
        <w:jc w:val="both"/>
        <w:rPr>
          <w:rFonts w:ascii="Arial" w:hAnsi="Arial" w:cs="Arial"/>
          <w:sz w:val="20"/>
          <w:szCs w:val="20"/>
        </w:rPr>
      </w:pPr>
    </w:p>
    <w:p w:rsidR="005533F8" w:rsidRPr="00470480" w:rsidRDefault="005533F8" w:rsidP="005533F8">
      <w:pPr>
        <w:spacing w:after="0"/>
        <w:jc w:val="both"/>
        <w:rPr>
          <w:rFonts w:ascii="Arial" w:hAnsi="Arial" w:cs="Arial"/>
          <w:sz w:val="20"/>
          <w:szCs w:val="20"/>
        </w:rPr>
      </w:pPr>
    </w:p>
    <w:p w:rsidR="005533F8" w:rsidRPr="00470480" w:rsidRDefault="005533F8" w:rsidP="005533F8">
      <w:pPr>
        <w:spacing w:after="0"/>
        <w:jc w:val="both"/>
        <w:rPr>
          <w:rFonts w:ascii="Arial" w:hAnsi="Arial" w:cs="Arial"/>
          <w:sz w:val="20"/>
          <w:szCs w:val="20"/>
        </w:rPr>
      </w:pPr>
    </w:p>
    <w:p w:rsidR="005533F8" w:rsidRPr="00470480" w:rsidRDefault="005533F8" w:rsidP="005533F8">
      <w:pPr>
        <w:spacing w:after="0"/>
        <w:jc w:val="both"/>
        <w:rPr>
          <w:rFonts w:ascii="Arial" w:hAnsi="Arial" w:cs="Arial"/>
          <w:sz w:val="20"/>
          <w:szCs w:val="20"/>
        </w:rPr>
      </w:pPr>
    </w:p>
    <w:p w:rsidR="005533F8" w:rsidRPr="00470480" w:rsidRDefault="005533F8" w:rsidP="005533F8">
      <w:pPr>
        <w:spacing w:after="0"/>
        <w:jc w:val="both"/>
        <w:rPr>
          <w:rFonts w:ascii="Arial" w:hAnsi="Arial" w:cs="Arial"/>
          <w:sz w:val="20"/>
          <w:szCs w:val="20"/>
        </w:rPr>
      </w:pPr>
    </w:p>
    <w:p w:rsidR="005533F8" w:rsidRPr="00470480" w:rsidRDefault="005533F8" w:rsidP="005533F8">
      <w:pPr>
        <w:spacing w:after="0"/>
        <w:jc w:val="both"/>
        <w:rPr>
          <w:rFonts w:ascii="Arial" w:hAnsi="Arial" w:cs="Arial"/>
          <w:sz w:val="20"/>
          <w:szCs w:val="20"/>
        </w:rPr>
      </w:pPr>
    </w:p>
    <w:p w:rsidR="005533F8" w:rsidRPr="00470480" w:rsidRDefault="005533F8" w:rsidP="005533F8">
      <w:pPr>
        <w:spacing w:after="0"/>
        <w:jc w:val="both"/>
        <w:rPr>
          <w:rFonts w:ascii="Arial" w:hAnsi="Arial" w:cs="Arial"/>
          <w:sz w:val="20"/>
          <w:szCs w:val="20"/>
        </w:rPr>
      </w:pPr>
    </w:p>
    <w:p w:rsidR="005533F8" w:rsidRPr="00470480" w:rsidRDefault="005533F8" w:rsidP="005533F8">
      <w:pPr>
        <w:spacing w:after="0"/>
        <w:jc w:val="both"/>
        <w:rPr>
          <w:rFonts w:ascii="Arial" w:hAnsi="Arial" w:cs="Arial"/>
          <w:sz w:val="20"/>
          <w:szCs w:val="20"/>
        </w:rPr>
      </w:pPr>
    </w:p>
    <w:p w:rsidR="005533F8" w:rsidRPr="00470480" w:rsidRDefault="005533F8" w:rsidP="005533F8">
      <w:pPr>
        <w:spacing w:after="0"/>
        <w:jc w:val="both"/>
        <w:rPr>
          <w:rFonts w:ascii="Arial" w:hAnsi="Arial" w:cs="Arial"/>
          <w:sz w:val="20"/>
          <w:szCs w:val="20"/>
        </w:rPr>
      </w:pPr>
    </w:p>
    <w:p w:rsidR="005533F8" w:rsidRPr="00470480" w:rsidRDefault="005533F8" w:rsidP="005533F8">
      <w:pPr>
        <w:spacing w:after="0"/>
        <w:jc w:val="both"/>
        <w:rPr>
          <w:rFonts w:ascii="Arial" w:hAnsi="Arial" w:cs="Arial"/>
          <w:sz w:val="20"/>
          <w:szCs w:val="20"/>
        </w:rPr>
      </w:pPr>
    </w:p>
    <w:p w:rsidR="005533F8" w:rsidRPr="00470480" w:rsidRDefault="005533F8" w:rsidP="005533F8">
      <w:pPr>
        <w:spacing w:after="0"/>
        <w:jc w:val="both"/>
        <w:rPr>
          <w:rFonts w:ascii="Arial" w:hAnsi="Arial" w:cs="Arial"/>
          <w:sz w:val="20"/>
          <w:szCs w:val="20"/>
        </w:rPr>
      </w:pPr>
    </w:p>
    <w:p w:rsidR="005533F8" w:rsidRPr="00470480" w:rsidRDefault="005533F8" w:rsidP="005533F8">
      <w:pPr>
        <w:spacing w:after="0"/>
        <w:jc w:val="both"/>
        <w:rPr>
          <w:rFonts w:ascii="Arial" w:hAnsi="Arial" w:cs="Arial"/>
          <w:sz w:val="20"/>
          <w:szCs w:val="20"/>
        </w:rPr>
      </w:pPr>
    </w:p>
    <w:p w:rsidR="005533F8" w:rsidRPr="00470480" w:rsidRDefault="005533F8" w:rsidP="005533F8">
      <w:pPr>
        <w:spacing w:after="0"/>
        <w:jc w:val="both"/>
        <w:rPr>
          <w:rFonts w:ascii="Arial" w:hAnsi="Arial" w:cs="Arial"/>
          <w:sz w:val="20"/>
          <w:szCs w:val="20"/>
        </w:rPr>
      </w:pPr>
    </w:p>
    <w:p w:rsidR="005533F8" w:rsidRPr="00470480" w:rsidRDefault="005533F8" w:rsidP="005533F8">
      <w:pPr>
        <w:spacing w:after="0"/>
        <w:jc w:val="both"/>
        <w:rPr>
          <w:rFonts w:ascii="Arial" w:hAnsi="Arial" w:cs="Arial"/>
          <w:sz w:val="20"/>
          <w:szCs w:val="20"/>
        </w:rPr>
      </w:pPr>
    </w:p>
    <w:p w:rsidR="005533F8" w:rsidRPr="00470480" w:rsidRDefault="005533F8" w:rsidP="005533F8">
      <w:pPr>
        <w:spacing w:after="0"/>
        <w:jc w:val="both"/>
        <w:rPr>
          <w:rFonts w:ascii="Arial" w:hAnsi="Arial" w:cs="Arial"/>
          <w:sz w:val="20"/>
          <w:szCs w:val="20"/>
        </w:rPr>
      </w:pPr>
    </w:p>
    <w:p w:rsidR="005533F8" w:rsidRPr="00470480" w:rsidRDefault="005533F8" w:rsidP="005533F8">
      <w:pPr>
        <w:spacing w:after="0"/>
        <w:jc w:val="both"/>
        <w:rPr>
          <w:rFonts w:ascii="Arial" w:hAnsi="Arial" w:cs="Arial"/>
          <w:sz w:val="20"/>
          <w:szCs w:val="20"/>
        </w:rPr>
      </w:pPr>
    </w:p>
    <w:p w:rsidR="005533F8" w:rsidRPr="00470480" w:rsidRDefault="005533F8" w:rsidP="005533F8">
      <w:pPr>
        <w:spacing w:after="0"/>
        <w:jc w:val="both"/>
        <w:rPr>
          <w:rFonts w:ascii="Arial" w:hAnsi="Arial" w:cs="Arial"/>
          <w:sz w:val="20"/>
          <w:szCs w:val="20"/>
        </w:rPr>
      </w:pPr>
    </w:p>
    <w:p w:rsidR="005533F8" w:rsidRPr="00470480" w:rsidRDefault="005533F8" w:rsidP="005533F8">
      <w:pPr>
        <w:spacing w:after="0"/>
        <w:jc w:val="both"/>
        <w:rPr>
          <w:rFonts w:ascii="Arial" w:hAnsi="Arial" w:cs="Arial"/>
          <w:sz w:val="20"/>
          <w:szCs w:val="20"/>
        </w:rPr>
      </w:pPr>
    </w:p>
    <w:p w:rsidR="005533F8" w:rsidRDefault="005533F8">
      <w:pPr>
        <w:rPr>
          <w:rFonts w:ascii="Arial" w:hAnsi="Arial" w:cs="Arial"/>
          <w:sz w:val="20"/>
          <w:szCs w:val="20"/>
        </w:rPr>
      </w:pPr>
      <w:r>
        <w:rPr>
          <w:rFonts w:ascii="Arial" w:hAnsi="Arial" w:cs="Arial"/>
          <w:sz w:val="20"/>
          <w:szCs w:val="20"/>
        </w:rPr>
        <w:br w:type="page"/>
      </w:r>
    </w:p>
    <w:p w:rsidR="005533F8" w:rsidRDefault="005533F8" w:rsidP="005533F8">
      <w:pPr>
        <w:pStyle w:val="NormalWeb"/>
        <w:rPr>
          <w:rFonts w:ascii="Arial" w:hAnsi="Arial" w:cs="Arial"/>
          <w:b/>
          <w:bCs/>
          <w:color w:val="000000"/>
          <w:sz w:val="20"/>
          <w:szCs w:val="20"/>
        </w:rPr>
      </w:pPr>
    </w:p>
    <w:p w:rsidR="005533F8" w:rsidRDefault="005533F8" w:rsidP="005533F8">
      <w:pPr>
        <w:pStyle w:val="NormalWeb"/>
        <w:rPr>
          <w:rFonts w:ascii="Arial" w:hAnsi="Arial" w:cs="Arial"/>
          <w:b/>
          <w:bCs/>
          <w:color w:val="000000"/>
          <w:sz w:val="20"/>
          <w:szCs w:val="20"/>
        </w:rPr>
      </w:pPr>
    </w:p>
    <w:p w:rsidR="005533F8" w:rsidRPr="00470480" w:rsidRDefault="005533F8" w:rsidP="005533F8">
      <w:pPr>
        <w:pStyle w:val="NormalWeb"/>
        <w:rPr>
          <w:rFonts w:ascii="Arial" w:hAnsi="Arial" w:cs="Arial"/>
          <w:b/>
          <w:bCs/>
          <w:color w:val="000000"/>
          <w:sz w:val="20"/>
          <w:szCs w:val="20"/>
        </w:rPr>
      </w:pPr>
      <w:r w:rsidRPr="00470480">
        <w:rPr>
          <w:rFonts w:ascii="Arial" w:hAnsi="Arial" w:cs="Arial"/>
          <w:b/>
          <w:bCs/>
          <w:color w:val="000000"/>
          <w:sz w:val="20"/>
          <w:szCs w:val="20"/>
        </w:rPr>
        <w:t>Retail Direct Scheme – Market Making</w:t>
      </w:r>
    </w:p>
    <w:p w:rsidR="005533F8" w:rsidRPr="00470480" w:rsidRDefault="005533F8" w:rsidP="005533F8">
      <w:pPr>
        <w:pStyle w:val="NormalWeb"/>
        <w:jc w:val="both"/>
        <w:rPr>
          <w:rFonts w:ascii="Arial" w:hAnsi="Arial" w:cs="Arial"/>
          <w:color w:val="000000"/>
          <w:sz w:val="20"/>
          <w:szCs w:val="20"/>
        </w:rPr>
      </w:pPr>
    </w:p>
    <w:p w:rsidR="005533F8" w:rsidRPr="00470480" w:rsidRDefault="005533F8" w:rsidP="005533F8">
      <w:pPr>
        <w:pStyle w:val="NormalWeb"/>
        <w:jc w:val="both"/>
        <w:rPr>
          <w:rFonts w:ascii="Arial" w:hAnsi="Arial" w:cs="Arial"/>
          <w:color w:val="000000"/>
          <w:sz w:val="20"/>
          <w:szCs w:val="20"/>
        </w:rPr>
      </w:pPr>
      <w:r w:rsidRPr="00470480">
        <w:rPr>
          <w:rFonts w:ascii="Arial" w:hAnsi="Arial" w:cs="Arial"/>
          <w:color w:val="000000"/>
          <w:sz w:val="20"/>
          <w:szCs w:val="20"/>
        </w:rPr>
        <w:t>RBI/2021-22/147</w:t>
      </w:r>
      <w:r w:rsidRPr="00470480">
        <w:rPr>
          <w:rFonts w:ascii="Arial" w:hAnsi="Arial" w:cs="Arial"/>
          <w:color w:val="000000"/>
          <w:sz w:val="20"/>
          <w:szCs w:val="20"/>
        </w:rPr>
        <w:br/>
        <w:t>IDMD.PDRD.No.S1617/03.64.023/2021-22</w:t>
      </w:r>
    </w:p>
    <w:p w:rsidR="005533F8" w:rsidRPr="00470480" w:rsidRDefault="005533F8" w:rsidP="005533F8">
      <w:pPr>
        <w:pStyle w:val="NormalWeb"/>
        <w:jc w:val="right"/>
        <w:rPr>
          <w:rFonts w:ascii="Arial" w:hAnsi="Arial" w:cs="Arial"/>
          <w:color w:val="000000"/>
          <w:sz w:val="20"/>
          <w:szCs w:val="20"/>
        </w:rPr>
      </w:pPr>
      <w:r w:rsidRPr="00470480">
        <w:rPr>
          <w:rFonts w:ascii="Arial" w:hAnsi="Arial" w:cs="Arial"/>
          <w:color w:val="000000"/>
          <w:sz w:val="20"/>
          <w:szCs w:val="20"/>
        </w:rPr>
        <w:t>January 04, 2022</w:t>
      </w:r>
    </w:p>
    <w:p w:rsidR="005533F8" w:rsidRPr="00470480" w:rsidRDefault="005533F8" w:rsidP="005533F8">
      <w:pPr>
        <w:pStyle w:val="NormalWeb"/>
        <w:jc w:val="both"/>
        <w:rPr>
          <w:rFonts w:ascii="Arial" w:hAnsi="Arial" w:cs="Arial"/>
          <w:color w:val="000000"/>
          <w:sz w:val="20"/>
          <w:szCs w:val="20"/>
        </w:rPr>
      </w:pPr>
      <w:r w:rsidRPr="00470480">
        <w:rPr>
          <w:rFonts w:ascii="Arial" w:hAnsi="Arial" w:cs="Arial"/>
          <w:color w:val="000000"/>
          <w:sz w:val="20"/>
          <w:szCs w:val="20"/>
        </w:rPr>
        <w:t>All Primary Dealers</w:t>
      </w:r>
    </w:p>
    <w:p w:rsidR="005533F8" w:rsidRPr="00470480" w:rsidRDefault="005533F8" w:rsidP="005533F8">
      <w:pPr>
        <w:pStyle w:val="NormalWeb"/>
        <w:jc w:val="both"/>
        <w:rPr>
          <w:rFonts w:ascii="Arial" w:hAnsi="Arial" w:cs="Arial"/>
          <w:color w:val="000000"/>
          <w:sz w:val="20"/>
          <w:szCs w:val="20"/>
        </w:rPr>
      </w:pPr>
      <w:r w:rsidRPr="00470480">
        <w:rPr>
          <w:rFonts w:ascii="Arial" w:hAnsi="Arial" w:cs="Arial"/>
          <w:color w:val="000000"/>
          <w:sz w:val="20"/>
          <w:szCs w:val="20"/>
        </w:rPr>
        <w:t>Dear Sir/Madam</w:t>
      </w:r>
    </w:p>
    <w:p w:rsidR="005533F8" w:rsidRPr="00470480" w:rsidRDefault="005533F8" w:rsidP="005533F8">
      <w:pPr>
        <w:pStyle w:val="head"/>
        <w:jc w:val="both"/>
        <w:rPr>
          <w:rFonts w:ascii="Arial" w:hAnsi="Arial" w:cs="Arial"/>
          <w:b/>
          <w:bCs/>
          <w:color w:val="000000"/>
          <w:sz w:val="20"/>
          <w:szCs w:val="20"/>
        </w:rPr>
      </w:pPr>
      <w:r w:rsidRPr="00470480">
        <w:rPr>
          <w:rFonts w:ascii="Arial" w:hAnsi="Arial" w:cs="Arial"/>
          <w:b/>
          <w:bCs/>
          <w:color w:val="000000"/>
          <w:sz w:val="20"/>
          <w:szCs w:val="20"/>
        </w:rPr>
        <w:t>Retail Direct Scheme – Market Making</w:t>
      </w:r>
    </w:p>
    <w:p w:rsidR="005533F8" w:rsidRPr="00470480" w:rsidRDefault="00552CD3" w:rsidP="005533F8">
      <w:pPr>
        <w:pStyle w:val="NormalWeb"/>
        <w:jc w:val="both"/>
        <w:rPr>
          <w:rFonts w:ascii="Arial" w:hAnsi="Arial" w:cs="Arial"/>
          <w:color w:val="000000"/>
          <w:sz w:val="20"/>
          <w:szCs w:val="20"/>
        </w:rPr>
      </w:pPr>
      <w:hyperlink r:id="rId55" w:tgtFrame="_blank" w:history="1">
        <w:r w:rsidR="005533F8" w:rsidRPr="00470480">
          <w:rPr>
            <w:rStyle w:val="Hyperlink"/>
            <w:rFonts w:ascii="Arial" w:hAnsi="Arial" w:cs="Arial"/>
            <w:sz w:val="20"/>
            <w:szCs w:val="20"/>
          </w:rPr>
          <w:t>RBI Retail Direct Scheme has been launched on November 12, 2021</w:t>
        </w:r>
      </w:hyperlink>
      <w:r w:rsidR="005533F8" w:rsidRPr="00470480">
        <w:rPr>
          <w:rFonts w:ascii="Arial" w:hAnsi="Arial" w:cs="Arial"/>
          <w:color w:val="000000"/>
          <w:sz w:val="20"/>
          <w:szCs w:val="20"/>
        </w:rPr>
        <w:t> for providing one-stop access to facilitate investment in Government Securities by retail investors. In this connection, to provide liquidity in the secondary market, a market making arrangement, wherein the Primary Dealers shall be present on the NDS-OM platform (odd-lot and Request for Quotes segments) throughout market hours and respond to buy/sell requests from Retail Direct Gilt Account Holders (RDGAHs), is enclosed as </w:t>
      </w:r>
      <w:hyperlink r:id="rId56" w:anchor="AN" w:history="1">
        <w:r w:rsidR="005533F8" w:rsidRPr="00470480">
          <w:rPr>
            <w:rStyle w:val="Hyperlink"/>
            <w:rFonts w:ascii="Arial" w:hAnsi="Arial" w:cs="Arial"/>
            <w:sz w:val="20"/>
            <w:szCs w:val="20"/>
          </w:rPr>
          <w:t>Annex</w:t>
        </w:r>
      </w:hyperlink>
      <w:r w:rsidR="005533F8" w:rsidRPr="00470480">
        <w:rPr>
          <w:rFonts w:ascii="Arial" w:hAnsi="Arial" w:cs="Arial"/>
          <w:color w:val="000000"/>
          <w:sz w:val="20"/>
          <w:szCs w:val="20"/>
        </w:rPr>
        <w:t>.</w:t>
      </w:r>
    </w:p>
    <w:p w:rsidR="005533F8" w:rsidRPr="00470480" w:rsidRDefault="005533F8" w:rsidP="005533F8">
      <w:pPr>
        <w:pStyle w:val="NormalWeb"/>
        <w:jc w:val="both"/>
        <w:rPr>
          <w:rFonts w:ascii="Arial" w:hAnsi="Arial" w:cs="Arial"/>
          <w:color w:val="000000"/>
          <w:sz w:val="20"/>
          <w:szCs w:val="20"/>
        </w:rPr>
      </w:pPr>
      <w:r w:rsidRPr="00470480">
        <w:rPr>
          <w:rFonts w:ascii="Arial" w:hAnsi="Arial" w:cs="Arial"/>
          <w:color w:val="000000"/>
          <w:sz w:val="20"/>
          <w:szCs w:val="20"/>
        </w:rPr>
        <w:t>Yours faithfully</w:t>
      </w:r>
    </w:p>
    <w:p w:rsidR="005533F8" w:rsidRPr="00470480" w:rsidRDefault="005533F8" w:rsidP="005533F8">
      <w:pPr>
        <w:pStyle w:val="NormalWeb"/>
        <w:rPr>
          <w:rFonts w:ascii="Arial" w:hAnsi="Arial" w:cs="Arial"/>
          <w:color w:val="000000"/>
          <w:sz w:val="20"/>
          <w:szCs w:val="20"/>
        </w:rPr>
      </w:pPr>
      <w:r w:rsidRPr="00470480">
        <w:rPr>
          <w:rFonts w:ascii="Arial" w:hAnsi="Arial" w:cs="Arial"/>
          <w:color w:val="000000"/>
          <w:sz w:val="20"/>
          <w:szCs w:val="20"/>
        </w:rPr>
        <w:t>(</w:t>
      </w:r>
      <w:proofErr w:type="spellStart"/>
      <w:r w:rsidRPr="00470480">
        <w:rPr>
          <w:rFonts w:ascii="Arial" w:hAnsi="Arial" w:cs="Arial"/>
          <w:color w:val="000000"/>
          <w:sz w:val="20"/>
          <w:szCs w:val="20"/>
        </w:rPr>
        <w:t>Latha</w:t>
      </w:r>
      <w:proofErr w:type="spellEnd"/>
      <w:r w:rsidRPr="00470480">
        <w:rPr>
          <w:rFonts w:ascii="Arial" w:hAnsi="Arial" w:cs="Arial"/>
          <w:color w:val="000000"/>
          <w:sz w:val="20"/>
          <w:szCs w:val="20"/>
        </w:rPr>
        <w:t xml:space="preserve"> </w:t>
      </w:r>
      <w:proofErr w:type="spellStart"/>
      <w:r w:rsidRPr="00470480">
        <w:rPr>
          <w:rFonts w:ascii="Arial" w:hAnsi="Arial" w:cs="Arial"/>
          <w:color w:val="000000"/>
          <w:sz w:val="20"/>
          <w:szCs w:val="20"/>
        </w:rPr>
        <w:t>Vishwanath</w:t>
      </w:r>
      <w:proofErr w:type="spellEnd"/>
      <w:r w:rsidRPr="00470480">
        <w:rPr>
          <w:rFonts w:ascii="Arial" w:hAnsi="Arial" w:cs="Arial"/>
          <w:color w:val="000000"/>
          <w:sz w:val="20"/>
          <w:szCs w:val="20"/>
        </w:rPr>
        <w:t>)</w:t>
      </w:r>
      <w:r w:rsidRPr="00470480">
        <w:rPr>
          <w:rFonts w:ascii="Arial" w:hAnsi="Arial" w:cs="Arial"/>
          <w:color w:val="000000"/>
          <w:sz w:val="20"/>
          <w:szCs w:val="20"/>
        </w:rPr>
        <w:br/>
        <w:t>General Manager</w:t>
      </w:r>
    </w:p>
    <w:p w:rsidR="005533F8" w:rsidRPr="00470480" w:rsidRDefault="005533F8" w:rsidP="005533F8">
      <w:pPr>
        <w:pStyle w:val="NormalWeb"/>
        <w:jc w:val="both"/>
        <w:rPr>
          <w:rFonts w:ascii="Arial" w:hAnsi="Arial" w:cs="Arial"/>
          <w:color w:val="000000"/>
          <w:sz w:val="20"/>
          <w:szCs w:val="20"/>
        </w:rPr>
      </w:pPr>
      <w:proofErr w:type="spellStart"/>
      <w:r w:rsidRPr="00470480">
        <w:rPr>
          <w:rFonts w:ascii="Arial" w:hAnsi="Arial" w:cs="Arial"/>
          <w:color w:val="000000"/>
          <w:sz w:val="20"/>
          <w:szCs w:val="20"/>
        </w:rPr>
        <w:t>Encl</w:t>
      </w:r>
      <w:proofErr w:type="spellEnd"/>
      <w:r w:rsidRPr="00470480">
        <w:rPr>
          <w:rFonts w:ascii="Arial" w:hAnsi="Arial" w:cs="Arial"/>
          <w:color w:val="000000"/>
          <w:sz w:val="20"/>
          <w:szCs w:val="20"/>
        </w:rPr>
        <w:t>: as above</w:t>
      </w:r>
    </w:p>
    <w:p w:rsidR="005533F8" w:rsidRPr="00470480" w:rsidRDefault="005533F8" w:rsidP="005533F8">
      <w:pPr>
        <w:pStyle w:val="NormalWeb"/>
        <w:rPr>
          <w:rFonts w:ascii="Arial" w:hAnsi="Arial" w:cs="Arial"/>
          <w:color w:val="000000"/>
          <w:sz w:val="20"/>
          <w:szCs w:val="20"/>
        </w:rPr>
      </w:pPr>
    </w:p>
    <w:p w:rsidR="005533F8" w:rsidRPr="00470480" w:rsidRDefault="005533F8" w:rsidP="005533F8">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For more details, refer to the link below.</w:t>
      </w:r>
    </w:p>
    <w:p w:rsidR="005533F8" w:rsidRPr="00470480" w:rsidRDefault="005533F8" w:rsidP="005533F8">
      <w:pPr>
        <w:pStyle w:val="NormalWeb"/>
        <w:spacing w:before="0" w:beforeAutospacing="0" w:after="0" w:afterAutospacing="0"/>
        <w:rPr>
          <w:rFonts w:ascii="Arial" w:hAnsi="Arial" w:cs="Arial"/>
          <w:color w:val="000000"/>
          <w:sz w:val="20"/>
          <w:szCs w:val="20"/>
        </w:rPr>
      </w:pPr>
      <w:r w:rsidRPr="00470480">
        <w:rPr>
          <w:rFonts w:ascii="Arial" w:hAnsi="Arial" w:cs="Arial"/>
          <w:color w:val="000000"/>
          <w:sz w:val="20"/>
          <w:szCs w:val="20"/>
        </w:rPr>
        <w:t xml:space="preserve">Reference Link:  </w:t>
      </w:r>
      <w:hyperlink r:id="rId57" w:history="1">
        <w:r w:rsidRPr="00470480">
          <w:rPr>
            <w:rStyle w:val="Hyperlink"/>
            <w:rFonts w:ascii="Arial" w:hAnsi="Arial" w:cs="Arial"/>
            <w:sz w:val="20"/>
            <w:szCs w:val="20"/>
          </w:rPr>
          <w:t>https://www.rbi.org.in/Scripts/NotificationUser.aspx?Id=12216&amp;Mode=0</w:t>
        </w:r>
      </w:hyperlink>
    </w:p>
    <w:p w:rsidR="005533F8" w:rsidRPr="00470480" w:rsidRDefault="005533F8" w:rsidP="005533F8">
      <w:pPr>
        <w:pStyle w:val="NormalWeb"/>
        <w:rPr>
          <w:rFonts w:ascii="Arial" w:hAnsi="Arial" w:cs="Arial"/>
          <w:b/>
          <w:bCs/>
          <w:color w:val="000000"/>
          <w:sz w:val="20"/>
          <w:szCs w:val="20"/>
        </w:rPr>
      </w:pPr>
    </w:p>
    <w:p w:rsidR="005533F8" w:rsidRPr="00470480" w:rsidRDefault="005533F8" w:rsidP="005533F8">
      <w:pPr>
        <w:pStyle w:val="NormalWeb"/>
        <w:rPr>
          <w:rFonts w:ascii="Arial" w:hAnsi="Arial" w:cs="Arial"/>
          <w:b/>
          <w:bCs/>
          <w:color w:val="000000"/>
          <w:sz w:val="20"/>
          <w:szCs w:val="20"/>
        </w:rPr>
      </w:pPr>
    </w:p>
    <w:p w:rsidR="00697BC8" w:rsidRPr="00697BC8" w:rsidRDefault="00697BC8" w:rsidP="00697BC8">
      <w:pPr>
        <w:jc w:val="both"/>
        <w:rPr>
          <w:rFonts w:ascii="Arial" w:hAnsi="Arial" w:cs="Arial"/>
          <w:sz w:val="20"/>
          <w:szCs w:val="20"/>
        </w:rPr>
      </w:pPr>
    </w:p>
    <w:sectPr w:rsidR="00697BC8" w:rsidRPr="00697B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1C0D25"/>
    <w:multiLevelType w:val="multilevel"/>
    <w:tmpl w:val="E26E2FC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51EE5FA6"/>
    <w:multiLevelType w:val="multilevel"/>
    <w:tmpl w:val="36EEA8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581C5FEC"/>
    <w:multiLevelType w:val="multilevel"/>
    <w:tmpl w:val="4022A5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5D333C26"/>
    <w:multiLevelType w:val="multilevel"/>
    <w:tmpl w:val="9CA4C1C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7C2C6B51"/>
    <w:multiLevelType w:val="hybridMultilevel"/>
    <w:tmpl w:val="878C9C6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BC8"/>
    <w:rsid w:val="00552CD3"/>
    <w:rsid w:val="005533F8"/>
    <w:rsid w:val="00697BC8"/>
    <w:rsid w:val="009B1A72"/>
    <w:rsid w:val="00AF2B8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33CA5"/>
  <w15:chartTrackingRefBased/>
  <w15:docId w15:val="{D2D406A2-A829-41F9-A529-568FC728D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7BC8"/>
    <w:rPr>
      <w:color w:val="0000FF"/>
      <w:u w:val="single"/>
    </w:rPr>
  </w:style>
  <w:style w:type="paragraph" w:styleId="NormalWeb">
    <w:name w:val="Normal (Web)"/>
    <w:basedOn w:val="Normal"/>
    <w:uiPriority w:val="99"/>
    <w:unhideWhenUsed/>
    <w:rsid w:val="00697BC8"/>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head">
    <w:name w:val="head"/>
    <w:basedOn w:val="Normal"/>
    <w:rsid w:val="00697BC8"/>
    <w:pPr>
      <w:spacing w:before="100" w:beforeAutospacing="1" w:after="100" w:afterAutospacing="1" w:line="240" w:lineRule="auto"/>
    </w:pPr>
    <w:rPr>
      <w:rFonts w:ascii="Times New Roman" w:eastAsia="Times New Roman" w:hAnsi="Times New Roman" w:cs="Times New Roman"/>
      <w:sz w:val="24"/>
      <w:szCs w:val="24"/>
      <w:lang w:eastAsia="en-IN"/>
    </w:rPr>
  </w:style>
  <w:style w:type="table" w:styleId="TableGrid">
    <w:name w:val="Table Grid"/>
    <w:basedOn w:val="TableNormal"/>
    <w:uiPriority w:val="39"/>
    <w:rsid w:val="005533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33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bi.org.in/Scripts/NotificationUser.aspx?Id=12102&amp;Mode=0" TargetMode="External"/><Relationship Id="rId18" Type="http://schemas.openxmlformats.org/officeDocument/2006/relationships/hyperlink" Target="https://www.rbi.org.in/Scripts/BS_PressReleaseDisplay.aspx?prid=53537" TargetMode="External"/><Relationship Id="rId26" Type="http://schemas.openxmlformats.org/officeDocument/2006/relationships/hyperlink" Target="https://www.rbi.org.in/Scripts/NotificationUser.aspx?Id=12262&amp;Mode=0" TargetMode="External"/><Relationship Id="rId39" Type="http://schemas.openxmlformats.org/officeDocument/2006/relationships/hyperlink" Target="https://www.rbi.org.in/Scripts/NotificationUser.aspx?Id=12099&amp;Mode=0" TargetMode="External"/><Relationship Id="rId21" Type="http://schemas.openxmlformats.org/officeDocument/2006/relationships/hyperlink" Target="https://www.rbi.org.in/Scripts/BS_ViewMasCirculardetails.aspx?id=12164" TargetMode="External"/><Relationship Id="rId34" Type="http://schemas.openxmlformats.org/officeDocument/2006/relationships/hyperlink" Target="https://www.rbi.org.in/Scripts/NotificationUser.aspx?Id=12099&amp;Mode=0" TargetMode="External"/><Relationship Id="rId42" Type="http://schemas.openxmlformats.org/officeDocument/2006/relationships/hyperlink" Target="https://www.rbi.org.in/Scripts/NotificationUser.aspx?Id=11798&amp;Mode=0" TargetMode="External"/><Relationship Id="rId47" Type="http://schemas.openxmlformats.org/officeDocument/2006/relationships/hyperlink" Target="https://www.rbi.org.in/Scripts/NotificationUser.aspx?Id=12102&amp;Mode=0" TargetMode="External"/><Relationship Id="rId50" Type="http://schemas.openxmlformats.org/officeDocument/2006/relationships/hyperlink" Target="https://rbi.org.in/Scripts/BS_PressReleaseDisplay.aspx?prid=53248" TargetMode="External"/><Relationship Id="rId55" Type="http://schemas.openxmlformats.org/officeDocument/2006/relationships/hyperlink" Target="https://www.rbi.org.in/Scripts/BS_PressReleaseDisplay.aspx?prid=52548" TargetMode="External"/><Relationship Id="rId7" Type="http://schemas.openxmlformats.org/officeDocument/2006/relationships/hyperlink" Target="https://rbi.org.in/Scripts/BS_PressReleaseDisplay.aspx?prid=50322" TargetMode="External"/><Relationship Id="rId12" Type="http://schemas.openxmlformats.org/officeDocument/2006/relationships/hyperlink" Target="https://www.rbi.org.in/Scripts/NotificationUser.aspx?Id=11850&amp;Mode=0" TargetMode="External"/><Relationship Id="rId17" Type="http://schemas.openxmlformats.org/officeDocument/2006/relationships/hyperlink" Target="https://www.rbi.org.in/Scripts/BS_PressReleaseDisplay.aspx?prid=53536" TargetMode="External"/><Relationship Id="rId25" Type="http://schemas.openxmlformats.org/officeDocument/2006/relationships/hyperlink" Target="https://www.rbi.org.in/Scripts/NotificationUser.aspx?Id=12264&amp;Mode=0" TargetMode="External"/><Relationship Id="rId33" Type="http://schemas.openxmlformats.org/officeDocument/2006/relationships/hyperlink" Target="https://rbi.org.in/Scripts/BS_FemaNotifications.aspx?Id=155" TargetMode="External"/><Relationship Id="rId38" Type="http://schemas.openxmlformats.org/officeDocument/2006/relationships/hyperlink" Target="https://www.rbi.org.in/Scripts/NotificationUser.aspx?Id=11441&amp;Mode=0" TargetMode="External"/><Relationship Id="rId46" Type="http://schemas.openxmlformats.org/officeDocument/2006/relationships/hyperlink" Target="https://www.rbi.org.in/Scripts/NotificationUser.aspx?Id=11303&amp;Mode=0"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rbi.org.in/Scripts/NotificationUser.aspx?Id=12295&amp;Mode=0" TargetMode="External"/><Relationship Id="rId20" Type="http://schemas.openxmlformats.org/officeDocument/2006/relationships/hyperlink" Target="https://www.rbi.org.in/Scripts/NotificationUser.aspx?Id=12287&amp;Mode=0" TargetMode="External"/><Relationship Id="rId29" Type="http://schemas.openxmlformats.org/officeDocument/2006/relationships/hyperlink" Target="https://www.rbi.org.in/Scripts/BS_PressReleaseDisplay.aspx?prid=53248" TargetMode="External"/><Relationship Id="rId41" Type="http://schemas.openxmlformats.org/officeDocument/2006/relationships/hyperlink" Target="https://www.rbi.org.in/Scripts/NotificationUser.aspx?Id=11561&amp;Mode=0" TargetMode="External"/><Relationship Id="rId54" Type="http://schemas.openxmlformats.org/officeDocument/2006/relationships/hyperlink" Target="https://www.rbi.org.in/Scripts/NotificationUser.aspx?Id=12226&amp;Mode=0" TargetMode="External"/><Relationship Id="rId1" Type="http://schemas.openxmlformats.org/officeDocument/2006/relationships/numbering" Target="numbering.xml"/><Relationship Id="rId6" Type="http://schemas.openxmlformats.org/officeDocument/2006/relationships/hyperlink" Target="https://rbi.org.in/Scripts/BS_PressReleaseDisplay.aspx?prid=49342" TargetMode="External"/><Relationship Id="rId11" Type="http://schemas.openxmlformats.org/officeDocument/2006/relationships/hyperlink" Target="https://www.rbi.org.in/Scripts/NotificationUser.aspx?Id=11849&amp;Mode=0" TargetMode="External"/><Relationship Id="rId24" Type="http://schemas.openxmlformats.org/officeDocument/2006/relationships/hyperlink" Target="https://www.rbi.org.in/Scripts/BS_ViewMasDirections.aspx?id=12153" TargetMode="External"/><Relationship Id="rId32" Type="http://schemas.openxmlformats.org/officeDocument/2006/relationships/hyperlink" Target="https://www.rbi.org.in/Scripts/NotificationUser.aspx?Id=11602&amp;Mode=0" TargetMode="External"/><Relationship Id="rId37" Type="http://schemas.openxmlformats.org/officeDocument/2006/relationships/hyperlink" Target="https://www.rbi.org.in/Scripts/BS_FemaNotifications.aspx?Id=155" TargetMode="External"/><Relationship Id="rId40" Type="http://schemas.openxmlformats.org/officeDocument/2006/relationships/hyperlink" Target="https://www.rbi.org.in/Scripts/BS_FemaNotifications.aspx?Id=179" TargetMode="External"/><Relationship Id="rId45" Type="http://schemas.openxmlformats.org/officeDocument/2006/relationships/hyperlink" Target="https://www.rbi.org.in/Scripts/NotificationUser.aspx?Id=12099&amp;Mode=0" TargetMode="External"/><Relationship Id="rId53" Type="http://schemas.openxmlformats.org/officeDocument/2006/relationships/hyperlink" Target="https://www.rbi.org.in/Scripts/NotificationUser.aspx?Id=12226&amp;Mode=0" TargetMode="External"/><Relationship Id="rId58" Type="http://schemas.openxmlformats.org/officeDocument/2006/relationships/fontTable" Target="fontTable.xml"/><Relationship Id="rId5" Type="http://schemas.openxmlformats.org/officeDocument/2006/relationships/hyperlink" Target="https://rbi.org.in/Scripts/BS_PressReleaseDisplay.aspx?prid=49343" TargetMode="External"/><Relationship Id="rId15" Type="http://schemas.openxmlformats.org/officeDocument/2006/relationships/hyperlink" Target="https://www.rbi.org.in/Scripts/NotificationUser.aspx?Id=11849&amp;Mode=0" TargetMode="External"/><Relationship Id="rId23" Type="http://schemas.openxmlformats.org/officeDocument/2006/relationships/hyperlink" Target="https://www.rbi.org.in/Scripts/NotificationUser.aspx?Id=12271&amp;Mode=0" TargetMode="External"/><Relationship Id="rId28" Type="http://schemas.openxmlformats.org/officeDocument/2006/relationships/hyperlink" Target="https://www.rbi.org.in/Scripts/NotificationUser.aspx?Id=12258&amp;Mode=0" TargetMode="External"/><Relationship Id="rId36" Type="http://schemas.openxmlformats.org/officeDocument/2006/relationships/hyperlink" Target="https://www.rbi.org.in/Scripts/BS_PressReleaseDisplay.aspx?prid=53248" TargetMode="External"/><Relationship Id="rId49" Type="http://schemas.openxmlformats.org/officeDocument/2006/relationships/hyperlink" Target="https://www.rbi.org.in/Scripts/NotificationUser.aspx?Id=12227&amp;Mode=0" TargetMode="External"/><Relationship Id="rId57" Type="http://schemas.openxmlformats.org/officeDocument/2006/relationships/hyperlink" Target="https://www.rbi.org.in/Scripts/NotificationUser.aspx?Id=12216&amp;Mode=0" TargetMode="External"/><Relationship Id="rId10" Type="http://schemas.openxmlformats.org/officeDocument/2006/relationships/hyperlink" Target="https://www.rbi.org.in/Scripts/NotificationUser.aspx?Id=12099&amp;Mode=0" TargetMode="External"/><Relationship Id="rId19" Type="http://schemas.openxmlformats.org/officeDocument/2006/relationships/hyperlink" Target="https://www.rbi.org.in/Scripts/BS_ViewMasDirections.aspx?id=12153" TargetMode="External"/><Relationship Id="rId31" Type="http://schemas.openxmlformats.org/officeDocument/2006/relationships/hyperlink" Target="https://www.rbi.org.in/Scripts/NotificationUser.aspx?Id=11602&amp;Mode=0" TargetMode="External"/><Relationship Id="rId44" Type="http://schemas.openxmlformats.org/officeDocument/2006/relationships/hyperlink" Target="https://www.rbi.org.in/Scripts/NotificationUser.aspx?Id=12228&amp;Mode=0" TargetMode="External"/><Relationship Id="rId52" Type="http://schemas.openxmlformats.org/officeDocument/2006/relationships/hyperlink" Target="https://rbi.org.in/Scripts/BS_PressReleaseDisplay.aspx?prid=51138" TargetMode="External"/><Relationship Id="rId4" Type="http://schemas.openxmlformats.org/officeDocument/2006/relationships/webSettings" Target="webSettings.xml"/><Relationship Id="rId9" Type="http://schemas.openxmlformats.org/officeDocument/2006/relationships/hyperlink" Target="https://www.rbi.org.in/Scripts/NotificationUser.aspx?Id=12328&amp;Mode=0" TargetMode="External"/><Relationship Id="rId14" Type="http://schemas.openxmlformats.org/officeDocument/2006/relationships/hyperlink" Target="https://www.rbi.org.in/Scripts/NotificationUser.aspx?Id=12227&amp;Mode=0" TargetMode="External"/><Relationship Id="rId22" Type="http://schemas.openxmlformats.org/officeDocument/2006/relationships/hyperlink" Target="https://www.rbi.org.in/Scripts/NotificationUser.aspx?Id=12271&amp;Mode=0" TargetMode="External"/><Relationship Id="rId27" Type="http://schemas.openxmlformats.org/officeDocument/2006/relationships/hyperlink" Target="https://rbi.org.in/Scripts/BS_ViewMasDirections.aspx?id=12153" TargetMode="External"/><Relationship Id="rId30" Type="http://schemas.openxmlformats.org/officeDocument/2006/relationships/hyperlink" Target="https://www.rbi.org.in/Scripts/BS_PressReleaseDisplay.aspx?prid=53247" TargetMode="External"/><Relationship Id="rId35" Type="http://schemas.openxmlformats.org/officeDocument/2006/relationships/hyperlink" Target="https://www.rbi.org.in/Scripts/NotificationUser.aspx?Id=12229&amp;Mode=0" TargetMode="External"/><Relationship Id="rId43" Type="http://schemas.openxmlformats.org/officeDocument/2006/relationships/hyperlink" Target="https://www.rbi.org.in/Scripts/NotificationUser.aspx?Id=12228&amp;Mode=0" TargetMode="External"/><Relationship Id="rId48" Type="http://schemas.openxmlformats.org/officeDocument/2006/relationships/hyperlink" Target="https://www.rbi.org.in/Scripts/BS_ViewMasDirections.aspx?id=12226" TargetMode="External"/><Relationship Id="rId56" Type="http://schemas.openxmlformats.org/officeDocument/2006/relationships/hyperlink" Target="https://www.rbi.org.in/Scripts/NotificationUser.aspx?Id=12216&amp;Mode=0" TargetMode="External"/><Relationship Id="rId8" Type="http://schemas.openxmlformats.org/officeDocument/2006/relationships/hyperlink" Target="https://www.rbi.org.in/Scripts/NotificationUser.aspx?Id=12328&amp;Mode=0" TargetMode="External"/><Relationship Id="rId51" Type="http://schemas.openxmlformats.org/officeDocument/2006/relationships/hyperlink" Target="https://rbi.org.in/Scripts/BS_PressReleaseDisplay.aspx?prid=53247"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13</Pages>
  <Words>3785</Words>
  <Characters>21581</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Shubhrika Srivastava</dc:creator>
  <cp:keywords/>
  <dc:description/>
  <cp:lastModifiedBy>Shubhrika Srivastava</cp:lastModifiedBy>
  <cp:revision>3</cp:revision>
  <dcterms:created xsi:type="dcterms:W3CDTF">2022-08-05T08:29:00Z</dcterms:created>
  <dcterms:modified xsi:type="dcterms:W3CDTF">2022-08-06T11:55:00Z</dcterms:modified>
</cp:coreProperties>
</file>